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436/2024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sierpnia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przeznaczonych do sprzedaży na rzecz użytkowników wieczystych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2, art. 198g, art. 198h ust. 1 pkt 1 oraz art. 198k ust. 1 pkt 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1145)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Przeznacza się do sprzedaży na rzecz użytkowników wieczystych nieruchomości gruntowe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 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436/2024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16 sierpnia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bezprzetargowej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500"/>
        <w:gridCol w:w="1140"/>
        <w:gridCol w:w="960"/>
        <w:gridCol w:w="1050"/>
        <w:gridCol w:w="735"/>
        <w:gridCol w:w="2955"/>
        <w:gridCol w:w="1230"/>
        <w:gridCol w:w="2235"/>
        <w:gridCol w:w="24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388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Tryb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 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Obr.</w:t>
            </w: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Brzozowa 15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32615/0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365/1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0,0056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2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gruntowa zabudowana budynkiem</w:t>
            </w:r>
            <w:r>
              <w:t> </w:t>
            </w:r>
            <w:r>
              <w:t>mieszkalnym, stanowiącym odrębne od gruntu prawo własności.</w:t>
            </w:r>
          </w:p>
          <w:p>
            <w:pPr>
              <w:jc w:val="center"/>
            </w:pPr>
            <w:r>
              <w:t>W SUiKZP jednostka strukturalna B7</w:t>
            </w:r>
          </w:p>
        </w:tc>
        <w:tc>
          <w:tcPr>
            <w:tcW w:w="123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23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Bezprzetargowo,</w:t>
            </w:r>
          </w:p>
          <w:p>
            <w:pPr>
              <w:jc w:val="center"/>
            </w:pPr>
            <w:r>
              <w:t>na rzecz użytkownika wieczystego gruntu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12.224,40 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sprzedaż nieruchomości nie podlega opodatkowaniu podatkiem VAT, ponieważ nie stanowi ona dostawy towarów w myśl art. 7 ust. 1 pkt 6 i 7 ustawy z dnia 11.03.2004 r.                             o podatku od towarów i usług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 34 ust.1 ustawy o gospodarce nieruchomościami nabywają nieruchomość za cenę określoną na podstawie art.67 ust.3 ustawy o gospodarce nieruchomościami.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477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0"/>
              </w:rPr>
              <w:t>Sporządziła: Aleksandra Kłos, Starszy Inspektor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436/2024 z dnia 16 sierpnia 2024 r.</dc:title>
  <dc:subject>w sprawie sporządzenia i^ogłoszenia wykazu nieruchomości
przeznaczonych do sprzedaży na^rzecz^użytkowników wieczystych</dc:subject>
  <dc:creator>kazab</dc:creator>
  <cp:lastModifiedBy>kazab</cp:lastModifiedBy>
  <cp:revision>1</cp:revision>
  <dcterms:created xsi:type="dcterms:W3CDTF">2024-08-19T12:28:43Z</dcterms:created>
  <dcterms:modified xsi:type="dcterms:W3CDTF">2024-08-19T12:28:43Z</dcterms:modified>
  <cp:category>Akt prawny</cp:category>
</cp:coreProperties>
</file>