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0EAD" w14:textId="77777777" w:rsidR="002A2839" w:rsidRDefault="0034645F" w:rsidP="0034645F">
      <w:pPr>
        <w:tabs>
          <w:tab w:val="left" w:pos="2859"/>
          <w:tab w:val="center" w:pos="4819"/>
        </w:tabs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C04E560" w14:textId="77777777" w:rsidR="00590719" w:rsidRDefault="00590719" w:rsidP="00B2042E">
      <w:pPr>
        <w:tabs>
          <w:tab w:val="left" w:pos="2859"/>
          <w:tab w:val="center" w:pos="4819"/>
        </w:tabs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PREZYDENT MIASTA ELBLĄG</w:t>
      </w:r>
    </w:p>
    <w:p w14:paraId="62E08E9B" w14:textId="77777777" w:rsidR="00590719" w:rsidRDefault="00590719" w:rsidP="00B2042E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ogłasza</w:t>
      </w:r>
    </w:p>
    <w:p w14:paraId="5BCBBE87" w14:textId="27675D92" w:rsidR="00590719" w:rsidRDefault="00744241" w:rsidP="000F0ED1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czwarty</w:t>
      </w:r>
      <w:r w:rsidR="00590719">
        <w:rPr>
          <w:sz w:val="20"/>
          <w:szCs w:val="20"/>
        </w:rPr>
        <w:t xml:space="preserve"> ustny przetarg nieograniczony </w:t>
      </w:r>
    </w:p>
    <w:p w14:paraId="3259224D" w14:textId="77777777" w:rsidR="00590719" w:rsidRDefault="00590719" w:rsidP="000F0ED1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sprzedaż nieruchomości lokalowej, stanowiącej własność Gminy Miasta Elbląg</w:t>
      </w:r>
    </w:p>
    <w:p w14:paraId="2085B4F9" w14:textId="5A6EFD33" w:rsidR="00590719" w:rsidRDefault="00590719" w:rsidP="000F0ED1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(strona internetowa - http://</w:t>
      </w:r>
      <w:hyperlink r:id="rId8" w:history="1">
        <w:r>
          <w:rPr>
            <w:rStyle w:val="Hipercze"/>
            <w:sz w:val="20"/>
            <w:szCs w:val="20"/>
          </w:rPr>
          <w:t>www.umelblag.pl</w:t>
        </w:r>
      </w:hyperlink>
      <w:r>
        <w:rPr>
          <w:sz w:val="20"/>
          <w:szCs w:val="20"/>
        </w:rPr>
        <w:t xml:space="preserve"> BIP - </w:t>
      </w:r>
      <w:hyperlink r:id="rId9">
        <w:hyperlink r:id="rId10" w:history="1">
          <w:r w:rsidR="006D5AAE" w:rsidRPr="006815A5">
            <w:rPr>
              <w:rStyle w:val="Hipercze"/>
              <w:sz w:val="20"/>
              <w:szCs w:val="20"/>
            </w:rPr>
            <w:t>https://bip.elblag.eu</w:t>
          </w:r>
        </w:hyperlink>
      </w:hyperlink>
      <w:r>
        <w:rPr>
          <w:sz w:val="20"/>
          <w:szCs w:val="20"/>
        </w:rPr>
        <w:t>)</w:t>
      </w:r>
    </w:p>
    <w:p w14:paraId="447C757F" w14:textId="77777777" w:rsidR="00590719" w:rsidRDefault="00590719" w:rsidP="000F0ED1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(tel. kontaktowy 55-239-31-41, 55-239-34-51</w:t>
      </w:r>
      <w:r w:rsidR="0080194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ipercze"/>
            <w:sz w:val="20"/>
            <w:szCs w:val="20"/>
          </w:rPr>
          <w:t>dgnig@umelblag.pl</w:t>
        </w:r>
      </w:hyperlink>
      <w:r>
        <w:rPr>
          <w:sz w:val="20"/>
          <w:szCs w:val="20"/>
        </w:rPr>
        <w:t>)</w:t>
      </w:r>
    </w:p>
    <w:p w14:paraId="75B45616" w14:textId="77777777" w:rsidR="002A2839" w:rsidRDefault="002A2839" w:rsidP="000F0ED1">
      <w:pPr>
        <w:autoSpaceDE w:val="0"/>
        <w:spacing w:line="276" w:lineRule="auto"/>
        <w:jc w:val="center"/>
        <w:rPr>
          <w:sz w:val="20"/>
          <w:szCs w:val="20"/>
        </w:rPr>
      </w:pPr>
    </w:p>
    <w:p w14:paraId="225778BD" w14:textId="77777777" w:rsidR="00590719" w:rsidRDefault="00590719" w:rsidP="000F0ED1">
      <w:pPr>
        <w:autoSpaceDE w:val="0"/>
        <w:spacing w:line="276" w:lineRule="auto"/>
        <w:jc w:val="both"/>
        <w:rPr>
          <w:sz w:val="20"/>
          <w:szCs w:val="20"/>
        </w:rPr>
      </w:pPr>
    </w:p>
    <w:p w14:paraId="10BFB01F" w14:textId="3D7A4D15" w:rsidR="00590719" w:rsidRDefault="00590719" w:rsidP="000F0ED1">
      <w:pPr>
        <w:numPr>
          <w:ilvl w:val="0"/>
          <w:numId w:val="2"/>
        </w:numPr>
        <w:autoSpaceDE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Lokalizacja: </w:t>
      </w:r>
      <w:r>
        <w:rPr>
          <w:sz w:val="20"/>
          <w:szCs w:val="20"/>
        </w:rPr>
        <w:t xml:space="preserve">Elbląg, </w:t>
      </w:r>
      <w:r w:rsidRPr="00835593">
        <w:rPr>
          <w:b/>
          <w:sz w:val="20"/>
          <w:szCs w:val="20"/>
        </w:rPr>
        <w:t xml:space="preserve">ul. </w:t>
      </w:r>
      <w:r w:rsidR="00FC0D01">
        <w:rPr>
          <w:b/>
          <w:sz w:val="20"/>
          <w:szCs w:val="20"/>
        </w:rPr>
        <w:t>Browarna</w:t>
      </w:r>
      <w:r w:rsidR="005F11FD">
        <w:rPr>
          <w:b/>
          <w:sz w:val="20"/>
          <w:szCs w:val="20"/>
        </w:rPr>
        <w:t xml:space="preserve"> 14</w:t>
      </w:r>
      <w:r w:rsidR="004D3DB7">
        <w:rPr>
          <w:b/>
          <w:sz w:val="20"/>
          <w:szCs w:val="20"/>
        </w:rPr>
        <w:t>/1U</w:t>
      </w:r>
      <w:r>
        <w:rPr>
          <w:sz w:val="20"/>
          <w:szCs w:val="20"/>
        </w:rPr>
        <w:t>.</w:t>
      </w:r>
    </w:p>
    <w:p w14:paraId="24D4575A" w14:textId="37EED33C" w:rsidR="00590719" w:rsidRDefault="00590719" w:rsidP="000F0ED1">
      <w:pPr>
        <w:numPr>
          <w:ilvl w:val="0"/>
          <w:numId w:val="2"/>
        </w:numPr>
        <w:autoSpaceDE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nieruchomości:</w:t>
      </w:r>
      <w:r>
        <w:rPr>
          <w:sz w:val="20"/>
          <w:szCs w:val="20"/>
        </w:rPr>
        <w:t xml:space="preserve"> lokal </w:t>
      </w:r>
      <w:r w:rsidR="004D3DB7">
        <w:rPr>
          <w:sz w:val="20"/>
          <w:szCs w:val="20"/>
        </w:rPr>
        <w:t>użytkowy</w:t>
      </w:r>
      <w:r w:rsidR="004D61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usytuowany </w:t>
      </w:r>
      <w:r w:rsidR="00FC0D01">
        <w:rPr>
          <w:sz w:val="20"/>
          <w:szCs w:val="20"/>
        </w:rPr>
        <w:t>na parterze</w:t>
      </w:r>
      <w:r w:rsidR="00B2080E">
        <w:rPr>
          <w:sz w:val="20"/>
          <w:szCs w:val="20"/>
        </w:rPr>
        <w:t xml:space="preserve"> </w:t>
      </w:r>
      <w:r w:rsidR="000F69B7">
        <w:rPr>
          <w:sz w:val="20"/>
          <w:szCs w:val="20"/>
        </w:rPr>
        <w:t>budynku</w:t>
      </w:r>
      <w:r w:rsidR="00C068A5">
        <w:rPr>
          <w:sz w:val="20"/>
          <w:szCs w:val="20"/>
        </w:rPr>
        <w:t xml:space="preserve"> </w:t>
      </w:r>
      <w:r w:rsidR="00FC0D01">
        <w:rPr>
          <w:sz w:val="20"/>
          <w:szCs w:val="20"/>
        </w:rPr>
        <w:t>dwu</w:t>
      </w:r>
      <w:r w:rsidR="00CE7D00">
        <w:rPr>
          <w:sz w:val="20"/>
          <w:szCs w:val="20"/>
        </w:rPr>
        <w:t>kondygnacyjnego z </w:t>
      </w:r>
      <w:r w:rsidR="00B2080E">
        <w:rPr>
          <w:sz w:val="20"/>
          <w:szCs w:val="20"/>
        </w:rPr>
        <w:t xml:space="preserve">poddaszem </w:t>
      </w:r>
      <w:r w:rsidR="00FC0D01">
        <w:rPr>
          <w:sz w:val="20"/>
          <w:szCs w:val="20"/>
        </w:rPr>
        <w:t>mieszkalnym</w:t>
      </w:r>
      <w:r>
        <w:rPr>
          <w:sz w:val="20"/>
          <w:szCs w:val="20"/>
        </w:rPr>
        <w:t xml:space="preserve">, składający się </w:t>
      </w:r>
      <w:r w:rsidR="004D3DB7">
        <w:rPr>
          <w:sz w:val="20"/>
          <w:szCs w:val="20"/>
        </w:rPr>
        <w:t xml:space="preserve">z </w:t>
      </w:r>
      <w:r w:rsidR="00FC0D01">
        <w:rPr>
          <w:sz w:val="20"/>
          <w:szCs w:val="20"/>
        </w:rPr>
        <w:t>trzech</w:t>
      </w:r>
      <w:r w:rsidR="004D3DB7">
        <w:rPr>
          <w:sz w:val="20"/>
          <w:szCs w:val="20"/>
        </w:rPr>
        <w:t xml:space="preserve"> pomieszczeń użytkowych</w:t>
      </w:r>
      <w:r w:rsidR="00B2080E">
        <w:rPr>
          <w:sz w:val="20"/>
          <w:szCs w:val="20"/>
        </w:rPr>
        <w:t xml:space="preserve"> oraz </w:t>
      </w:r>
      <w:r w:rsidR="00081D17">
        <w:rPr>
          <w:sz w:val="20"/>
          <w:szCs w:val="20"/>
        </w:rPr>
        <w:t>WC</w:t>
      </w:r>
      <w:r w:rsidR="00C068A5">
        <w:rPr>
          <w:sz w:val="20"/>
          <w:szCs w:val="20"/>
        </w:rPr>
        <w:t>,</w:t>
      </w:r>
      <w:r>
        <w:rPr>
          <w:sz w:val="20"/>
          <w:szCs w:val="20"/>
        </w:rPr>
        <w:t xml:space="preserve"> o łącznej powierzchni użytkowej </w:t>
      </w:r>
      <w:r w:rsidR="00FC0D01">
        <w:rPr>
          <w:b/>
          <w:sz w:val="20"/>
          <w:szCs w:val="20"/>
        </w:rPr>
        <w:t>51</w:t>
      </w:r>
      <w:r w:rsidRPr="00C068A5">
        <w:rPr>
          <w:b/>
          <w:sz w:val="20"/>
          <w:szCs w:val="20"/>
        </w:rPr>
        <w:t xml:space="preserve"> m</w:t>
      </w:r>
      <w:r w:rsidRPr="00C068A5">
        <w:rPr>
          <w:b/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Z własnością lokalu związany jest udział do </w:t>
      </w:r>
      <w:r w:rsidR="00081D17">
        <w:rPr>
          <w:b/>
          <w:sz w:val="20"/>
          <w:szCs w:val="20"/>
        </w:rPr>
        <w:t>0,</w:t>
      </w:r>
      <w:r w:rsidR="00A33615">
        <w:rPr>
          <w:b/>
          <w:sz w:val="20"/>
          <w:szCs w:val="20"/>
        </w:rPr>
        <w:t>0</w:t>
      </w:r>
      <w:r w:rsidR="00B54A61">
        <w:rPr>
          <w:b/>
          <w:sz w:val="20"/>
          <w:szCs w:val="20"/>
        </w:rPr>
        <w:t>91</w:t>
      </w:r>
      <w:r>
        <w:rPr>
          <w:sz w:val="20"/>
          <w:szCs w:val="20"/>
        </w:rPr>
        <w:t xml:space="preserve"> części wspólnych i</w:t>
      </w:r>
      <w:r w:rsidR="00AE2CD6">
        <w:rPr>
          <w:sz w:val="20"/>
          <w:szCs w:val="20"/>
        </w:rPr>
        <w:t> </w:t>
      </w:r>
      <w:r>
        <w:rPr>
          <w:sz w:val="20"/>
          <w:szCs w:val="20"/>
        </w:rPr>
        <w:t>niepodzielnych budynku ora</w:t>
      </w:r>
      <w:r w:rsidR="00E362BC">
        <w:rPr>
          <w:sz w:val="20"/>
          <w:szCs w:val="20"/>
        </w:rPr>
        <w:t>z w prawie własności gruntu, na </w:t>
      </w:r>
      <w:r>
        <w:rPr>
          <w:sz w:val="20"/>
          <w:szCs w:val="20"/>
        </w:rPr>
        <w:t>którym budynek jest posadowiony.</w:t>
      </w:r>
    </w:p>
    <w:p w14:paraId="0127D31E" w14:textId="097E9B12" w:rsidR="00AE2CD6" w:rsidRDefault="00AE2CD6" w:rsidP="000F0ED1">
      <w:pPr>
        <w:autoSpaceDE w:val="0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Wejście do lokalu bezpośrednio z </w:t>
      </w:r>
      <w:r w:rsidR="00AF63DE">
        <w:rPr>
          <w:sz w:val="20"/>
          <w:szCs w:val="20"/>
        </w:rPr>
        <w:t>chodnika</w:t>
      </w:r>
      <w:r w:rsidR="007F1571">
        <w:rPr>
          <w:sz w:val="20"/>
          <w:szCs w:val="20"/>
        </w:rPr>
        <w:t xml:space="preserve"> od </w:t>
      </w:r>
      <w:r w:rsidR="008F2D98">
        <w:rPr>
          <w:sz w:val="20"/>
          <w:szCs w:val="20"/>
        </w:rPr>
        <w:t>frontu</w:t>
      </w:r>
      <w:r w:rsidR="007F1571">
        <w:rPr>
          <w:sz w:val="20"/>
          <w:szCs w:val="20"/>
        </w:rPr>
        <w:t xml:space="preserve"> budynku przy ul. </w:t>
      </w:r>
      <w:r w:rsidR="008F2D98">
        <w:rPr>
          <w:sz w:val="20"/>
          <w:szCs w:val="20"/>
        </w:rPr>
        <w:t>Browarnej 14</w:t>
      </w:r>
      <w:r>
        <w:rPr>
          <w:sz w:val="20"/>
          <w:szCs w:val="20"/>
        </w:rPr>
        <w:t xml:space="preserve">. </w:t>
      </w:r>
      <w:r w:rsidR="008F2D98">
        <w:rPr>
          <w:sz w:val="20"/>
          <w:szCs w:val="20"/>
        </w:rPr>
        <w:t>Lokal wymaga poniesienia dużych nakładów na remont kapitalny i prace adaptacyjne do współczesnych form prowadzenia działalności.</w:t>
      </w:r>
    </w:p>
    <w:p w14:paraId="6FDADAF2" w14:textId="4014FB09" w:rsidR="00B2042E" w:rsidRDefault="00B2042E" w:rsidP="000F0ED1">
      <w:pPr>
        <w:autoSpaceDE w:val="0"/>
        <w:spacing w:line="276" w:lineRule="auto"/>
        <w:ind w:left="360"/>
        <w:jc w:val="both"/>
        <w:rPr>
          <w:sz w:val="20"/>
          <w:szCs w:val="20"/>
        </w:rPr>
      </w:pPr>
      <w:r w:rsidRPr="00C068A5">
        <w:rPr>
          <w:sz w:val="20"/>
          <w:szCs w:val="20"/>
        </w:rPr>
        <w:t>Budynek, w którym zlokalizowany jes</w:t>
      </w:r>
      <w:r>
        <w:rPr>
          <w:sz w:val="20"/>
          <w:szCs w:val="20"/>
        </w:rPr>
        <w:t xml:space="preserve">t przedmiotowy </w:t>
      </w:r>
      <w:r w:rsidR="00A16191">
        <w:rPr>
          <w:sz w:val="20"/>
          <w:szCs w:val="20"/>
        </w:rPr>
        <w:t>lokal, wybudowany został w 192</w:t>
      </w:r>
      <w:r w:rsidR="008F2D98">
        <w:rPr>
          <w:sz w:val="20"/>
          <w:szCs w:val="20"/>
        </w:rPr>
        <w:t>5</w:t>
      </w:r>
      <w:r>
        <w:rPr>
          <w:sz w:val="20"/>
          <w:szCs w:val="20"/>
        </w:rPr>
        <w:t xml:space="preserve"> r., </w:t>
      </w:r>
      <w:r w:rsidR="009004FE">
        <w:rPr>
          <w:sz w:val="20"/>
          <w:szCs w:val="20"/>
        </w:rPr>
        <w:t xml:space="preserve">o </w:t>
      </w:r>
      <w:r w:rsidR="00AC051E">
        <w:rPr>
          <w:sz w:val="20"/>
          <w:szCs w:val="20"/>
        </w:rPr>
        <w:t>konstrukcji, mieszanej</w:t>
      </w:r>
      <w:r>
        <w:rPr>
          <w:sz w:val="20"/>
          <w:szCs w:val="20"/>
        </w:rPr>
        <w:t xml:space="preserve">, </w:t>
      </w:r>
      <w:r w:rsidRPr="00C068A5">
        <w:rPr>
          <w:sz w:val="20"/>
          <w:szCs w:val="20"/>
        </w:rPr>
        <w:t>wyposażony jest w instalacje</w:t>
      </w:r>
      <w:r w:rsidR="00AE2CD6">
        <w:rPr>
          <w:sz w:val="20"/>
          <w:szCs w:val="20"/>
        </w:rPr>
        <w:t>: wodo</w:t>
      </w:r>
      <w:r w:rsidR="00A16191">
        <w:rPr>
          <w:sz w:val="20"/>
          <w:szCs w:val="20"/>
        </w:rPr>
        <w:t>ciągową, kanalizacji sanitarnej</w:t>
      </w:r>
      <w:r w:rsidR="00AE2C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elektryczną. </w:t>
      </w:r>
      <w:r w:rsidR="00BF5CF4">
        <w:rPr>
          <w:sz w:val="20"/>
          <w:szCs w:val="20"/>
        </w:rPr>
        <w:t xml:space="preserve">Ogrzewanie </w:t>
      </w:r>
      <w:r w:rsidR="00A16191">
        <w:rPr>
          <w:sz w:val="20"/>
          <w:szCs w:val="20"/>
        </w:rPr>
        <w:t>CO z miejskiej sieci ciepłownicze</w:t>
      </w:r>
      <w:r w:rsidR="008F2D98">
        <w:rPr>
          <w:sz w:val="20"/>
          <w:szCs w:val="20"/>
        </w:rPr>
        <w:t>j</w:t>
      </w:r>
      <w:r w:rsidR="00BF5CF4">
        <w:rPr>
          <w:sz w:val="20"/>
          <w:szCs w:val="20"/>
        </w:rPr>
        <w:t xml:space="preserve">. </w:t>
      </w:r>
      <w:r w:rsidR="00AE2CD6">
        <w:rPr>
          <w:sz w:val="20"/>
          <w:szCs w:val="20"/>
        </w:rPr>
        <w:t xml:space="preserve">Pokrycie dachowe – </w:t>
      </w:r>
      <w:r w:rsidR="008F2D98">
        <w:rPr>
          <w:sz w:val="20"/>
          <w:szCs w:val="20"/>
        </w:rPr>
        <w:t>papodachówka.</w:t>
      </w:r>
    </w:p>
    <w:p w14:paraId="3A0E66D5" w14:textId="512C8369" w:rsidR="003B3E29" w:rsidRPr="00AC7FC1" w:rsidRDefault="00B2042E" w:rsidP="000F0ED1">
      <w:pPr>
        <w:numPr>
          <w:ilvl w:val="0"/>
          <w:numId w:val="2"/>
        </w:numPr>
        <w:autoSpaceDE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nieruchomości wg danych ewidencji gruntów i budynków:</w:t>
      </w:r>
      <w:r>
        <w:rPr>
          <w:sz w:val="20"/>
          <w:szCs w:val="20"/>
        </w:rPr>
        <w:t xml:space="preserve"> obręb </w:t>
      </w:r>
      <w:r w:rsidR="00A16191">
        <w:rPr>
          <w:b/>
          <w:sz w:val="20"/>
          <w:szCs w:val="20"/>
        </w:rPr>
        <w:t>1</w:t>
      </w:r>
      <w:r w:rsidR="008F2D9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działka</w:t>
      </w:r>
      <w:r w:rsidR="008F2D98">
        <w:rPr>
          <w:sz w:val="20"/>
          <w:szCs w:val="20"/>
        </w:rPr>
        <w:br/>
      </w:r>
      <w:r>
        <w:rPr>
          <w:b/>
          <w:sz w:val="20"/>
          <w:szCs w:val="20"/>
        </w:rPr>
        <w:t>nr</w:t>
      </w:r>
      <w:r w:rsidR="008F2D98">
        <w:rPr>
          <w:b/>
          <w:sz w:val="20"/>
          <w:szCs w:val="20"/>
        </w:rPr>
        <w:t xml:space="preserve"> 398/1</w:t>
      </w:r>
      <w:r>
        <w:rPr>
          <w:sz w:val="20"/>
          <w:szCs w:val="20"/>
        </w:rPr>
        <w:t xml:space="preserve"> o powierzchni 0,</w:t>
      </w:r>
      <w:r w:rsidR="00A16191">
        <w:rPr>
          <w:sz w:val="20"/>
          <w:szCs w:val="20"/>
        </w:rPr>
        <w:t>0</w:t>
      </w:r>
      <w:r w:rsidR="008D4D07">
        <w:rPr>
          <w:sz w:val="20"/>
          <w:szCs w:val="20"/>
        </w:rPr>
        <w:t>2</w:t>
      </w:r>
      <w:r w:rsidR="008F2D98">
        <w:rPr>
          <w:sz w:val="20"/>
          <w:szCs w:val="20"/>
        </w:rPr>
        <w:t>34</w:t>
      </w:r>
      <w:r>
        <w:rPr>
          <w:sz w:val="20"/>
          <w:szCs w:val="20"/>
        </w:rPr>
        <w:t xml:space="preserve"> ha, dla której Sąd Rejonowy w Elblągu prowadzi księgę wieczystą nr EL1E/000</w:t>
      </w:r>
      <w:r w:rsidR="008F2D98">
        <w:rPr>
          <w:sz w:val="20"/>
          <w:szCs w:val="20"/>
        </w:rPr>
        <w:t>36070/5</w:t>
      </w:r>
      <w:r>
        <w:rPr>
          <w:sz w:val="20"/>
          <w:szCs w:val="20"/>
        </w:rPr>
        <w:t>.</w:t>
      </w:r>
    </w:p>
    <w:p w14:paraId="558BD491" w14:textId="0A5F1A13" w:rsidR="00B2042E" w:rsidRPr="00307968" w:rsidRDefault="00B2042E" w:rsidP="000F0ED1">
      <w:pPr>
        <w:numPr>
          <w:ilvl w:val="0"/>
          <w:numId w:val="2"/>
        </w:numPr>
        <w:autoSpaceDE w:val="0"/>
        <w:spacing w:line="276" w:lineRule="auto"/>
        <w:jc w:val="both"/>
        <w:rPr>
          <w:b/>
          <w:sz w:val="20"/>
          <w:szCs w:val="20"/>
        </w:rPr>
      </w:pPr>
      <w:r w:rsidRPr="00307968">
        <w:rPr>
          <w:b/>
          <w:sz w:val="20"/>
          <w:szCs w:val="20"/>
        </w:rPr>
        <w:t xml:space="preserve">Uzbrojenie: </w:t>
      </w:r>
      <w:r w:rsidR="000F0ED1" w:rsidRPr="00307968">
        <w:rPr>
          <w:sz w:val="20"/>
          <w:szCs w:val="20"/>
        </w:rPr>
        <w:t>nieruchomość położona na tereni</w:t>
      </w:r>
      <w:r w:rsidR="000F0ED1">
        <w:rPr>
          <w:sz w:val="20"/>
          <w:szCs w:val="20"/>
        </w:rPr>
        <w:t>e uzbrojonym w media komunalne.</w:t>
      </w:r>
      <w:r w:rsidR="000F0ED1" w:rsidRPr="00307968">
        <w:rPr>
          <w:sz w:val="20"/>
          <w:szCs w:val="20"/>
        </w:rPr>
        <w:t xml:space="preserve"> </w:t>
      </w:r>
      <w:r w:rsidR="000F0ED1" w:rsidRPr="00B6089C">
        <w:rPr>
          <w:sz w:val="20"/>
          <w:szCs w:val="20"/>
        </w:rPr>
        <w:t>Informacje dotyczące istniejących sieci uzbrojenia dostępne są w Departamenci</w:t>
      </w:r>
      <w:r w:rsidR="000F0ED1">
        <w:rPr>
          <w:sz w:val="20"/>
          <w:szCs w:val="20"/>
        </w:rPr>
        <w:t>e Gospodarki Nieruchomościami i </w:t>
      </w:r>
      <w:r w:rsidR="000F0ED1" w:rsidRPr="00B6089C">
        <w:rPr>
          <w:sz w:val="20"/>
          <w:szCs w:val="20"/>
        </w:rPr>
        <w:t>Geodezji Urzędu Miejskiego w</w:t>
      </w:r>
      <w:r w:rsidR="000F0ED1">
        <w:rPr>
          <w:sz w:val="20"/>
          <w:szCs w:val="20"/>
        </w:rPr>
        <w:t> </w:t>
      </w:r>
      <w:r w:rsidR="000F0ED1" w:rsidRPr="00B6089C">
        <w:rPr>
          <w:sz w:val="20"/>
          <w:szCs w:val="20"/>
        </w:rPr>
        <w:t>Elblągu (</w:t>
      </w:r>
      <w:r w:rsidR="000F0ED1">
        <w:rPr>
          <w:sz w:val="20"/>
          <w:szCs w:val="20"/>
        </w:rPr>
        <w:t>Miejski Ośrodek Dokumentacji Geodezyjnej i Kartograficznej,</w:t>
      </w:r>
      <w:r w:rsidR="000F0ED1">
        <w:rPr>
          <w:sz w:val="20"/>
          <w:szCs w:val="20"/>
        </w:rPr>
        <w:br/>
        <w:t>Al. Tysiąclecia 11A, pok. 12</w:t>
      </w:r>
      <w:r w:rsidR="001D540F">
        <w:rPr>
          <w:sz w:val="20"/>
          <w:szCs w:val="20"/>
        </w:rPr>
        <w:t>, tel. 55 237-4</w:t>
      </w:r>
      <w:r w:rsidR="008F2D98">
        <w:rPr>
          <w:sz w:val="20"/>
          <w:szCs w:val="20"/>
        </w:rPr>
        <w:t>7</w:t>
      </w:r>
      <w:r w:rsidR="001D540F">
        <w:rPr>
          <w:sz w:val="20"/>
          <w:szCs w:val="20"/>
        </w:rPr>
        <w:t>-11 do 55 237-47</w:t>
      </w:r>
      <w:r w:rsidR="000F0ED1">
        <w:rPr>
          <w:sz w:val="20"/>
          <w:szCs w:val="20"/>
        </w:rPr>
        <w:t>-14</w:t>
      </w:r>
      <w:r w:rsidR="000F0ED1" w:rsidRPr="00B6089C">
        <w:rPr>
          <w:sz w:val="20"/>
          <w:szCs w:val="20"/>
        </w:rPr>
        <w:t>)</w:t>
      </w:r>
      <w:r w:rsidR="000F0ED1">
        <w:rPr>
          <w:sz w:val="20"/>
          <w:szCs w:val="20"/>
        </w:rPr>
        <w:t>.</w:t>
      </w:r>
    </w:p>
    <w:p w14:paraId="70669AAF" w14:textId="339D5486" w:rsidR="00B2042E" w:rsidRDefault="00B2042E" w:rsidP="000F0ED1">
      <w:pPr>
        <w:numPr>
          <w:ilvl w:val="0"/>
          <w:numId w:val="2"/>
        </w:numPr>
        <w:autoSpaceDE w:val="0"/>
        <w:spacing w:line="276" w:lineRule="auto"/>
        <w:ind w:left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Cena wywoławcza nieruchomości: </w:t>
      </w:r>
      <w:r w:rsidR="008F2D98">
        <w:rPr>
          <w:b/>
          <w:sz w:val="20"/>
          <w:szCs w:val="20"/>
        </w:rPr>
        <w:t>1</w:t>
      </w:r>
      <w:r w:rsidR="00744241">
        <w:rPr>
          <w:b/>
          <w:sz w:val="20"/>
          <w:szCs w:val="20"/>
        </w:rPr>
        <w:t>2</w:t>
      </w:r>
      <w:r w:rsidR="008F2D98">
        <w:rPr>
          <w:b/>
          <w:sz w:val="20"/>
          <w:szCs w:val="20"/>
        </w:rPr>
        <w:t>0.000</w:t>
      </w:r>
      <w:r>
        <w:rPr>
          <w:b/>
          <w:sz w:val="20"/>
          <w:szCs w:val="20"/>
        </w:rPr>
        <w:t xml:space="preserve"> zł </w:t>
      </w:r>
      <w:r w:rsidRPr="00C068A5">
        <w:rPr>
          <w:b/>
          <w:sz w:val="20"/>
          <w:szCs w:val="20"/>
        </w:rPr>
        <w:t xml:space="preserve">(słownie złotych: </w:t>
      </w:r>
      <w:r w:rsidR="008F2D98">
        <w:rPr>
          <w:b/>
          <w:sz w:val="20"/>
          <w:szCs w:val="20"/>
        </w:rPr>
        <w:t xml:space="preserve">sto </w:t>
      </w:r>
      <w:r w:rsidR="00744241">
        <w:rPr>
          <w:b/>
          <w:sz w:val="20"/>
          <w:szCs w:val="20"/>
        </w:rPr>
        <w:t>dwadzieścia</w:t>
      </w:r>
      <w:r w:rsidR="001D540F">
        <w:rPr>
          <w:b/>
          <w:sz w:val="20"/>
          <w:szCs w:val="20"/>
        </w:rPr>
        <w:t xml:space="preserve"> tysi</w:t>
      </w:r>
      <w:r w:rsidR="008F2D98">
        <w:rPr>
          <w:b/>
          <w:sz w:val="20"/>
          <w:szCs w:val="20"/>
        </w:rPr>
        <w:t>ęcy</w:t>
      </w:r>
      <w:r w:rsidR="007803CC">
        <w:rPr>
          <w:b/>
          <w:sz w:val="20"/>
          <w:szCs w:val="20"/>
        </w:rPr>
        <w:t xml:space="preserve"> </w:t>
      </w:r>
      <w:r w:rsidRPr="00E83570">
        <w:rPr>
          <w:b/>
          <w:sz w:val="20"/>
          <w:szCs w:val="20"/>
          <w:vertAlign w:val="superscript"/>
        </w:rPr>
        <w:t>00/100</w:t>
      </w:r>
      <w:r w:rsidRPr="00C068A5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, w tym: lokal </w:t>
      </w:r>
      <w:r w:rsidR="00744241">
        <w:rPr>
          <w:sz w:val="20"/>
          <w:szCs w:val="20"/>
        </w:rPr>
        <w:t>113.662</w:t>
      </w:r>
      <w:r>
        <w:rPr>
          <w:sz w:val="20"/>
          <w:szCs w:val="20"/>
        </w:rPr>
        <w:t xml:space="preserve"> zł (słownie złotych: </w:t>
      </w:r>
      <w:r w:rsidR="008F2D98">
        <w:rPr>
          <w:sz w:val="20"/>
          <w:szCs w:val="20"/>
        </w:rPr>
        <w:t xml:space="preserve">sto </w:t>
      </w:r>
      <w:r w:rsidR="00744241">
        <w:rPr>
          <w:sz w:val="20"/>
          <w:szCs w:val="20"/>
        </w:rPr>
        <w:t>trzynaście</w:t>
      </w:r>
      <w:r w:rsidR="008F2D98">
        <w:rPr>
          <w:sz w:val="20"/>
          <w:szCs w:val="20"/>
        </w:rPr>
        <w:t xml:space="preserve"> tysi</w:t>
      </w:r>
      <w:r w:rsidR="00744241">
        <w:rPr>
          <w:sz w:val="20"/>
          <w:szCs w:val="20"/>
        </w:rPr>
        <w:t>ęcy</w:t>
      </w:r>
      <w:r w:rsidR="008F2D98">
        <w:rPr>
          <w:sz w:val="20"/>
          <w:szCs w:val="20"/>
        </w:rPr>
        <w:t xml:space="preserve"> sześćset sześćdziesiąt dwa</w:t>
      </w:r>
      <w:r w:rsidR="00E83570">
        <w:rPr>
          <w:sz w:val="20"/>
          <w:szCs w:val="20"/>
        </w:rPr>
        <w:t xml:space="preserve"> </w:t>
      </w:r>
      <w:r w:rsidRPr="00E83570">
        <w:rPr>
          <w:sz w:val="20"/>
          <w:szCs w:val="20"/>
          <w:vertAlign w:val="superscript"/>
        </w:rPr>
        <w:t>00/100</w:t>
      </w:r>
      <w:r>
        <w:rPr>
          <w:sz w:val="20"/>
          <w:szCs w:val="20"/>
        </w:rPr>
        <w:t xml:space="preserve">), udział w gruncie </w:t>
      </w:r>
      <w:r w:rsidR="00FC0A1F">
        <w:rPr>
          <w:sz w:val="20"/>
          <w:szCs w:val="20"/>
        </w:rPr>
        <w:t>6.338</w:t>
      </w:r>
      <w:r>
        <w:rPr>
          <w:sz w:val="20"/>
          <w:szCs w:val="20"/>
        </w:rPr>
        <w:t xml:space="preserve"> zł (słownie złotych: </w:t>
      </w:r>
      <w:r w:rsidR="00FC0A1F">
        <w:rPr>
          <w:sz w:val="20"/>
          <w:szCs w:val="20"/>
        </w:rPr>
        <w:t>sześć</w:t>
      </w:r>
      <w:r w:rsidR="00E83570">
        <w:rPr>
          <w:sz w:val="20"/>
          <w:szCs w:val="20"/>
        </w:rPr>
        <w:t xml:space="preserve"> tysi</w:t>
      </w:r>
      <w:r w:rsidR="00FC0A1F">
        <w:rPr>
          <w:sz w:val="20"/>
          <w:szCs w:val="20"/>
        </w:rPr>
        <w:t>ęcy</w:t>
      </w:r>
      <w:r w:rsidR="00E83570">
        <w:rPr>
          <w:sz w:val="20"/>
          <w:szCs w:val="20"/>
        </w:rPr>
        <w:t xml:space="preserve"> </w:t>
      </w:r>
      <w:r w:rsidR="008F2D98">
        <w:rPr>
          <w:sz w:val="20"/>
          <w:szCs w:val="20"/>
        </w:rPr>
        <w:t>trzysta trzydzieści osiem</w:t>
      </w:r>
      <w:r w:rsidR="001D540F">
        <w:rPr>
          <w:sz w:val="20"/>
          <w:szCs w:val="20"/>
        </w:rPr>
        <w:t xml:space="preserve"> </w:t>
      </w:r>
      <w:r>
        <w:rPr>
          <w:sz w:val="20"/>
          <w:szCs w:val="20"/>
        </w:rPr>
        <w:t> </w:t>
      </w:r>
      <w:r w:rsidRPr="00E83570">
        <w:rPr>
          <w:sz w:val="20"/>
          <w:szCs w:val="20"/>
          <w:vertAlign w:val="superscript"/>
        </w:rPr>
        <w:t>00/100</w:t>
      </w:r>
      <w:r>
        <w:rPr>
          <w:sz w:val="20"/>
          <w:szCs w:val="20"/>
        </w:rPr>
        <w:t>).</w:t>
      </w:r>
    </w:p>
    <w:p w14:paraId="2B492DE0" w14:textId="77777777" w:rsidR="00B2042E" w:rsidRDefault="00B2042E" w:rsidP="000F0ED1">
      <w:pPr>
        <w:autoSpaceDE w:val="0"/>
        <w:spacing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Do sprzedaży nieruchomości mają zastosowanie przepisy ustawy o podatku od towarów i usług (VAT)</w:t>
      </w:r>
      <w:r w:rsidR="000B6DF2">
        <w:rPr>
          <w:sz w:val="20"/>
          <w:szCs w:val="20"/>
        </w:rPr>
        <w:t>,</w:t>
      </w:r>
      <w:r>
        <w:rPr>
          <w:sz w:val="20"/>
          <w:szCs w:val="20"/>
        </w:rPr>
        <w:t xml:space="preserve"> obowiązujące w dniu zawarcia umowy sprzedaży. Na dzień publikacji ogłoszenia</w:t>
      </w:r>
      <w:r w:rsidR="000B6DF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sprzedaż lokalu </w:t>
      </w:r>
      <w:r>
        <w:rPr>
          <w:sz w:val="20"/>
          <w:szCs w:val="20"/>
        </w:rPr>
        <w:t xml:space="preserve">jest </w:t>
      </w:r>
      <w:r>
        <w:rPr>
          <w:b/>
          <w:sz w:val="20"/>
          <w:szCs w:val="20"/>
        </w:rPr>
        <w:t>zwolniona z opodatkowania podatkiem od towarów i usług (VAT)</w:t>
      </w:r>
      <w:r>
        <w:rPr>
          <w:sz w:val="20"/>
          <w:szCs w:val="20"/>
        </w:rPr>
        <w:t>. W przypadku zmian przepisów prawa w tym zakresie, do wylicytowanej ceny lokalu</w:t>
      </w:r>
      <w:r w:rsidR="009004FE">
        <w:rPr>
          <w:sz w:val="20"/>
          <w:szCs w:val="20"/>
        </w:rPr>
        <w:t>,</w:t>
      </w:r>
      <w:r>
        <w:rPr>
          <w:sz w:val="20"/>
          <w:szCs w:val="20"/>
        </w:rPr>
        <w:t xml:space="preserve"> zostanie doliczony należny podatek VAT. Wylicytowaną cenę sprzedaży nieruchomości</w:t>
      </w:r>
      <w:r w:rsidR="000B6DF2">
        <w:rPr>
          <w:sz w:val="20"/>
          <w:szCs w:val="20"/>
        </w:rPr>
        <w:t>,</w:t>
      </w:r>
      <w:r>
        <w:rPr>
          <w:sz w:val="20"/>
          <w:szCs w:val="20"/>
        </w:rPr>
        <w:t xml:space="preserve"> należy wpłacić na rachunek bankowy Urzędu Miejskiego w Elblągu (podany w protokole z przetargu)</w:t>
      </w:r>
      <w:r w:rsidR="009004FE">
        <w:rPr>
          <w:sz w:val="20"/>
          <w:szCs w:val="20"/>
        </w:rPr>
        <w:t>,</w:t>
      </w:r>
      <w:r>
        <w:rPr>
          <w:sz w:val="20"/>
          <w:szCs w:val="20"/>
        </w:rPr>
        <w:t xml:space="preserve"> przed zawarciem umowy sprzedaży.</w:t>
      </w:r>
    </w:p>
    <w:p w14:paraId="3171BF6B" w14:textId="77777777" w:rsidR="00B2042E" w:rsidRDefault="00B2042E" w:rsidP="000F0ED1">
      <w:pPr>
        <w:numPr>
          <w:ilvl w:val="0"/>
          <w:numId w:val="2"/>
        </w:numPr>
        <w:autoSpaceDE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Warunki udziału w przetargu: </w:t>
      </w:r>
      <w:r>
        <w:rPr>
          <w:sz w:val="20"/>
          <w:szCs w:val="20"/>
        </w:rPr>
        <w:t>w przetargu mogą uczestniczyć osoby, które wpłacą wadium, złożą oświadczenie, że znany jest im stan prawny i stan zagospodarowania nieruchomości</w:t>
      </w:r>
      <w:r w:rsidR="009004FE">
        <w:rPr>
          <w:sz w:val="20"/>
          <w:szCs w:val="20"/>
        </w:rPr>
        <w:t>,</w:t>
      </w:r>
      <w:r w:rsidR="007803CC">
        <w:rPr>
          <w:sz w:val="20"/>
          <w:szCs w:val="20"/>
        </w:rPr>
        <w:t xml:space="preserve"> stanowiącej</w:t>
      </w:r>
      <w:r>
        <w:rPr>
          <w:sz w:val="20"/>
          <w:szCs w:val="20"/>
        </w:rPr>
        <w:t xml:space="preserve"> przedmiot przetargu oraz oświadczenie o zapoznaniu się z warunkami i przedmiotem przetargu oraz o przyjęciu ich bez zastrzeżeń.</w:t>
      </w:r>
    </w:p>
    <w:p w14:paraId="73C94BED" w14:textId="734D79FF" w:rsidR="00B2042E" w:rsidRDefault="00B2042E" w:rsidP="000F0ED1">
      <w:pPr>
        <w:numPr>
          <w:ilvl w:val="0"/>
          <w:numId w:val="2"/>
        </w:numPr>
        <w:autoSpaceDE w:val="0"/>
        <w:spacing w:line="276" w:lineRule="auto"/>
        <w:ind w:left="357" w:hanging="322"/>
        <w:jc w:val="both"/>
        <w:rPr>
          <w:b/>
          <w:sz w:val="20"/>
          <w:szCs w:val="20"/>
        </w:rPr>
      </w:pPr>
      <w:r w:rsidRPr="00C068A5">
        <w:rPr>
          <w:b/>
          <w:sz w:val="20"/>
          <w:szCs w:val="20"/>
        </w:rPr>
        <w:t xml:space="preserve">Termin i miejsce oględzin nieruchomości: </w:t>
      </w:r>
      <w:r w:rsidRPr="00C068A5">
        <w:rPr>
          <w:sz w:val="20"/>
          <w:szCs w:val="20"/>
        </w:rPr>
        <w:t xml:space="preserve">lokal zostanie udostępniony do oglądania w dniach </w:t>
      </w:r>
      <w:r w:rsidRPr="00C068A5">
        <w:rPr>
          <w:b/>
          <w:sz w:val="20"/>
          <w:szCs w:val="20"/>
        </w:rPr>
        <w:t>od </w:t>
      </w:r>
      <w:r w:rsidR="00744241">
        <w:rPr>
          <w:b/>
          <w:sz w:val="20"/>
          <w:szCs w:val="20"/>
        </w:rPr>
        <w:t>2</w:t>
      </w:r>
      <w:r w:rsidR="001D540F">
        <w:rPr>
          <w:b/>
          <w:sz w:val="20"/>
          <w:szCs w:val="20"/>
        </w:rPr>
        <w:t xml:space="preserve"> do </w:t>
      </w:r>
      <w:r w:rsidR="00744241">
        <w:rPr>
          <w:b/>
          <w:sz w:val="20"/>
          <w:szCs w:val="20"/>
        </w:rPr>
        <w:t>4 września</w:t>
      </w:r>
      <w:r>
        <w:rPr>
          <w:b/>
          <w:sz w:val="20"/>
          <w:szCs w:val="20"/>
        </w:rPr>
        <w:t xml:space="preserve"> 20</w:t>
      </w:r>
      <w:r w:rsidR="001D540F">
        <w:rPr>
          <w:b/>
          <w:sz w:val="20"/>
          <w:szCs w:val="20"/>
        </w:rPr>
        <w:t>2</w:t>
      </w:r>
      <w:r w:rsidR="006D5AA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  <w:r>
        <w:rPr>
          <w:sz w:val="20"/>
          <w:szCs w:val="20"/>
        </w:rPr>
        <w:t xml:space="preserve"> w godzinach od </w:t>
      </w:r>
      <w:r>
        <w:rPr>
          <w:b/>
          <w:sz w:val="20"/>
          <w:szCs w:val="20"/>
        </w:rPr>
        <w:t>10</w:t>
      </w:r>
      <w:r>
        <w:rPr>
          <w:b/>
          <w:sz w:val="20"/>
          <w:szCs w:val="20"/>
          <w:u w:val="single"/>
          <w:vertAlign w:val="superscript"/>
        </w:rPr>
        <w:t>00</w:t>
      </w:r>
      <w:r>
        <w:rPr>
          <w:b/>
          <w:sz w:val="20"/>
          <w:szCs w:val="20"/>
        </w:rPr>
        <w:t xml:space="preserve"> do 14</w:t>
      </w:r>
      <w:r>
        <w:rPr>
          <w:b/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>, po uprzednim uzgodnieniu godziny z administratorem</w:t>
      </w:r>
      <w:r w:rsidR="00124036">
        <w:rPr>
          <w:sz w:val="20"/>
          <w:szCs w:val="20"/>
        </w:rPr>
        <w:t>,</w:t>
      </w:r>
      <w:r>
        <w:rPr>
          <w:sz w:val="20"/>
          <w:szCs w:val="20"/>
        </w:rPr>
        <w:t xml:space="preserve"> pod numerem tel.: 55 </w:t>
      </w:r>
      <w:r>
        <w:rPr>
          <w:color w:val="000000"/>
          <w:sz w:val="20"/>
          <w:szCs w:val="20"/>
        </w:rPr>
        <w:t>221-20-</w:t>
      </w:r>
      <w:r w:rsidR="007F1571">
        <w:rPr>
          <w:color w:val="000000"/>
          <w:sz w:val="20"/>
          <w:szCs w:val="20"/>
        </w:rPr>
        <w:t>1</w:t>
      </w:r>
      <w:r w:rsidR="008F2D98">
        <w:rPr>
          <w:color w:val="000000"/>
          <w:sz w:val="20"/>
          <w:szCs w:val="20"/>
        </w:rPr>
        <w:t>5</w:t>
      </w:r>
      <w:r w:rsidR="00124036">
        <w:rPr>
          <w:color w:val="000000"/>
          <w:sz w:val="20"/>
          <w:szCs w:val="20"/>
        </w:rPr>
        <w:t xml:space="preserve"> lub 55 221-20-10</w:t>
      </w:r>
      <w:r>
        <w:rPr>
          <w:color w:val="000000"/>
          <w:sz w:val="20"/>
          <w:szCs w:val="20"/>
        </w:rPr>
        <w:t>.</w:t>
      </w:r>
    </w:p>
    <w:p w14:paraId="0C72BE0F" w14:textId="2BC6CE37" w:rsidR="00B2042E" w:rsidRDefault="00B2042E" w:rsidP="000F0ED1">
      <w:pPr>
        <w:numPr>
          <w:ilvl w:val="0"/>
          <w:numId w:val="2"/>
        </w:numPr>
        <w:autoSpaceDE w:val="0"/>
        <w:spacing w:line="276" w:lineRule="auto"/>
        <w:ind w:left="357" w:hanging="322"/>
        <w:jc w:val="both"/>
        <w:rPr>
          <w:b/>
          <w:sz w:val="20"/>
          <w:szCs w:val="20"/>
        </w:rPr>
      </w:pPr>
      <w:r w:rsidRPr="00540AEE">
        <w:rPr>
          <w:b/>
          <w:sz w:val="20"/>
          <w:szCs w:val="20"/>
        </w:rPr>
        <w:t xml:space="preserve">Termin i miejsce przeprowadzenia przetargu: </w:t>
      </w:r>
      <w:r w:rsidRPr="00540AEE">
        <w:rPr>
          <w:sz w:val="20"/>
          <w:szCs w:val="20"/>
        </w:rPr>
        <w:t xml:space="preserve">przetarg odbędzie się w dniu </w:t>
      </w:r>
      <w:r w:rsidR="00744241">
        <w:rPr>
          <w:b/>
          <w:bCs/>
          <w:sz w:val="20"/>
          <w:szCs w:val="20"/>
        </w:rPr>
        <w:t>16 września</w:t>
      </w:r>
      <w:r w:rsidR="003A5EED">
        <w:rPr>
          <w:b/>
          <w:bCs/>
          <w:sz w:val="20"/>
          <w:szCs w:val="20"/>
        </w:rPr>
        <w:t xml:space="preserve"> 202</w:t>
      </w:r>
      <w:r w:rsidR="006D5AAE">
        <w:rPr>
          <w:b/>
          <w:bCs/>
          <w:sz w:val="20"/>
          <w:szCs w:val="20"/>
        </w:rPr>
        <w:t>4</w:t>
      </w:r>
      <w:r w:rsidRPr="00540AEE">
        <w:rPr>
          <w:b/>
          <w:sz w:val="20"/>
          <w:szCs w:val="20"/>
        </w:rPr>
        <w:t> r</w:t>
      </w:r>
      <w:r w:rsidRPr="00540AEE">
        <w:rPr>
          <w:sz w:val="20"/>
          <w:szCs w:val="20"/>
        </w:rPr>
        <w:t xml:space="preserve">. o godz. </w:t>
      </w:r>
      <w:r w:rsidRPr="00540AEE">
        <w:rPr>
          <w:b/>
          <w:sz w:val="20"/>
          <w:szCs w:val="20"/>
        </w:rPr>
        <w:t>1</w:t>
      </w:r>
      <w:r w:rsidR="00744241">
        <w:rPr>
          <w:b/>
          <w:sz w:val="20"/>
          <w:szCs w:val="20"/>
        </w:rPr>
        <w:t>2</w:t>
      </w:r>
      <w:r w:rsidRPr="00540AEE">
        <w:rPr>
          <w:b/>
          <w:sz w:val="20"/>
          <w:szCs w:val="20"/>
          <w:u w:val="single"/>
          <w:vertAlign w:val="superscript"/>
        </w:rPr>
        <w:t>00</w:t>
      </w:r>
      <w:r w:rsidRPr="00540AEE">
        <w:rPr>
          <w:sz w:val="20"/>
          <w:szCs w:val="20"/>
        </w:rPr>
        <w:t xml:space="preserve">, </w:t>
      </w:r>
      <w:r w:rsidR="003A5EED">
        <w:rPr>
          <w:sz w:val="20"/>
          <w:szCs w:val="20"/>
        </w:rPr>
        <w:t xml:space="preserve">w </w:t>
      </w:r>
      <w:r w:rsidR="003A5EED" w:rsidRPr="00393C45">
        <w:rPr>
          <w:b/>
          <w:sz w:val="20"/>
          <w:szCs w:val="20"/>
        </w:rPr>
        <w:t>sali 300a</w:t>
      </w:r>
      <w:r w:rsidR="003A5EED">
        <w:rPr>
          <w:sz w:val="20"/>
          <w:szCs w:val="20"/>
        </w:rPr>
        <w:t xml:space="preserve"> w </w:t>
      </w:r>
      <w:r w:rsidR="003A5EED" w:rsidRPr="00393C45">
        <w:rPr>
          <w:b/>
          <w:sz w:val="20"/>
          <w:szCs w:val="20"/>
        </w:rPr>
        <w:t>Urzędzie Miejskim</w:t>
      </w:r>
      <w:r w:rsidR="003A5EED">
        <w:rPr>
          <w:b/>
          <w:bCs/>
          <w:sz w:val="20"/>
          <w:szCs w:val="20"/>
        </w:rPr>
        <w:t xml:space="preserve"> </w:t>
      </w:r>
      <w:r w:rsidR="003A5EED">
        <w:rPr>
          <w:sz w:val="20"/>
          <w:szCs w:val="20"/>
        </w:rPr>
        <w:t xml:space="preserve">przy ul. </w:t>
      </w:r>
      <w:r w:rsidR="003A5EED">
        <w:rPr>
          <w:b/>
          <w:bCs/>
          <w:sz w:val="20"/>
          <w:szCs w:val="20"/>
        </w:rPr>
        <w:t>Łączności 1</w:t>
      </w:r>
      <w:r w:rsidR="003A5EED">
        <w:rPr>
          <w:sz w:val="20"/>
          <w:szCs w:val="20"/>
        </w:rPr>
        <w:t xml:space="preserve"> w Elblągu</w:t>
      </w:r>
      <w:r w:rsidRPr="00540AEE">
        <w:rPr>
          <w:sz w:val="20"/>
          <w:szCs w:val="20"/>
        </w:rPr>
        <w:t>.</w:t>
      </w:r>
    </w:p>
    <w:p w14:paraId="28F1FBC6" w14:textId="1C4FAC31" w:rsidR="00B2042E" w:rsidRPr="00540AEE" w:rsidRDefault="00B2042E" w:rsidP="000F0ED1">
      <w:pPr>
        <w:numPr>
          <w:ilvl w:val="0"/>
          <w:numId w:val="2"/>
        </w:numPr>
        <w:autoSpaceDE w:val="0"/>
        <w:spacing w:line="276" w:lineRule="auto"/>
        <w:ind w:left="357" w:hanging="322"/>
        <w:jc w:val="both"/>
        <w:rPr>
          <w:b/>
          <w:sz w:val="20"/>
          <w:szCs w:val="20"/>
        </w:rPr>
      </w:pPr>
      <w:r w:rsidRPr="00540AEE">
        <w:rPr>
          <w:b/>
          <w:sz w:val="20"/>
          <w:szCs w:val="20"/>
        </w:rPr>
        <w:t>Termin, miejsce wpłaty oraz wysokość wadium:</w:t>
      </w:r>
      <w:r w:rsidRPr="00540AEE">
        <w:rPr>
          <w:sz w:val="20"/>
          <w:szCs w:val="20"/>
        </w:rPr>
        <w:t xml:space="preserve"> wadium w wysokości </w:t>
      </w:r>
      <w:r w:rsidR="001813D8">
        <w:rPr>
          <w:b/>
          <w:sz w:val="20"/>
          <w:szCs w:val="20"/>
        </w:rPr>
        <w:t>2</w:t>
      </w:r>
      <w:r w:rsidR="00744241">
        <w:rPr>
          <w:b/>
          <w:sz w:val="20"/>
          <w:szCs w:val="20"/>
        </w:rPr>
        <w:t>0</w:t>
      </w:r>
      <w:r w:rsidR="003A5EED">
        <w:rPr>
          <w:b/>
          <w:sz w:val="20"/>
          <w:szCs w:val="20"/>
        </w:rPr>
        <w:t>.0</w:t>
      </w:r>
      <w:r w:rsidR="00C318B9">
        <w:rPr>
          <w:b/>
          <w:sz w:val="20"/>
          <w:szCs w:val="20"/>
        </w:rPr>
        <w:t>00 z</w:t>
      </w:r>
      <w:r w:rsidRPr="00540AEE">
        <w:rPr>
          <w:b/>
          <w:sz w:val="20"/>
          <w:szCs w:val="20"/>
        </w:rPr>
        <w:t xml:space="preserve">ł </w:t>
      </w:r>
      <w:r w:rsidRPr="00540AEE">
        <w:rPr>
          <w:sz w:val="20"/>
          <w:szCs w:val="20"/>
        </w:rPr>
        <w:t xml:space="preserve">(słownie złotych: </w:t>
      </w:r>
      <w:r w:rsidR="003A5EED">
        <w:rPr>
          <w:sz w:val="20"/>
          <w:szCs w:val="20"/>
        </w:rPr>
        <w:t>d</w:t>
      </w:r>
      <w:r w:rsidR="001813D8">
        <w:rPr>
          <w:sz w:val="20"/>
          <w:szCs w:val="20"/>
        </w:rPr>
        <w:t>wadzieścia</w:t>
      </w:r>
      <w:r w:rsidR="003A5EED">
        <w:rPr>
          <w:sz w:val="20"/>
          <w:szCs w:val="20"/>
        </w:rPr>
        <w:t xml:space="preserve"> tysięcy</w:t>
      </w:r>
      <w:r>
        <w:rPr>
          <w:sz w:val="20"/>
          <w:szCs w:val="20"/>
        </w:rPr>
        <w:t xml:space="preserve"> </w:t>
      </w:r>
      <w:r w:rsidRPr="00E83570">
        <w:rPr>
          <w:sz w:val="20"/>
          <w:szCs w:val="20"/>
          <w:vertAlign w:val="superscript"/>
        </w:rPr>
        <w:t>00/100</w:t>
      </w:r>
      <w:r w:rsidRPr="00540AEE">
        <w:rPr>
          <w:sz w:val="20"/>
          <w:szCs w:val="20"/>
        </w:rPr>
        <w:t xml:space="preserve">), należy wpłacić w kasie Urzędu Miejskiego w Elblągu lub na konto </w:t>
      </w:r>
      <w:r>
        <w:rPr>
          <w:sz w:val="20"/>
          <w:szCs w:val="20"/>
        </w:rPr>
        <w:t xml:space="preserve">Banku PKO BP S.A. z siedzibą w Warszawie </w:t>
      </w:r>
      <w:r w:rsidRPr="00D95024">
        <w:rPr>
          <w:sz w:val="20"/>
          <w:szCs w:val="20"/>
          <w:u w:val="single"/>
        </w:rPr>
        <w:t>nr 95 1020 1811 0000 0902 0334 1138</w:t>
      </w:r>
      <w:r w:rsidRPr="00540AEE">
        <w:rPr>
          <w:sz w:val="20"/>
          <w:szCs w:val="20"/>
        </w:rPr>
        <w:t xml:space="preserve">, w terminie </w:t>
      </w:r>
      <w:r w:rsidRPr="00540AEE">
        <w:rPr>
          <w:b/>
          <w:sz w:val="20"/>
          <w:szCs w:val="20"/>
        </w:rPr>
        <w:t>do dnia</w:t>
      </w:r>
      <w:r w:rsidRPr="00540AEE">
        <w:rPr>
          <w:sz w:val="20"/>
          <w:szCs w:val="20"/>
        </w:rPr>
        <w:t xml:space="preserve"> </w:t>
      </w:r>
      <w:r w:rsidR="00744241">
        <w:rPr>
          <w:b/>
          <w:sz w:val="20"/>
          <w:szCs w:val="20"/>
        </w:rPr>
        <w:t>9 września</w:t>
      </w:r>
      <w:r w:rsidR="003A5EED">
        <w:rPr>
          <w:b/>
          <w:sz w:val="20"/>
          <w:szCs w:val="20"/>
        </w:rPr>
        <w:t xml:space="preserve"> 202</w:t>
      </w:r>
      <w:r w:rsidR="006D5AAE">
        <w:rPr>
          <w:b/>
          <w:sz w:val="20"/>
          <w:szCs w:val="20"/>
        </w:rPr>
        <w:t>4</w:t>
      </w:r>
      <w:r w:rsidRPr="00540AEE">
        <w:rPr>
          <w:b/>
          <w:sz w:val="20"/>
          <w:szCs w:val="20"/>
        </w:rPr>
        <w:t xml:space="preserve">  r.</w:t>
      </w:r>
      <w:r w:rsidRPr="00540AEE">
        <w:rPr>
          <w:sz w:val="20"/>
          <w:szCs w:val="20"/>
        </w:rPr>
        <w:t xml:space="preserve"> Wadium wpłacone przez uczestnika przetargu, który ustalony zostanie jak</w:t>
      </w:r>
      <w:r w:rsidR="000B6DF2">
        <w:rPr>
          <w:sz w:val="20"/>
          <w:szCs w:val="20"/>
        </w:rPr>
        <w:t>o N</w:t>
      </w:r>
      <w:r w:rsidRPr="00540AEE">
        <w:rPr>
          <w:sz w:val="20"/>
          <w:szCs w:val="20"/>
        </w:rPr>
        <w:t>abywca, zaliczone zostanie na poczet ceny nabycia nieruchomości. Pozostałym uczestnikom przetargu wadium zostanie zwrócone niezwłocznie po zamknięciu przetargu, jednak nie później niż przed upływem 3 dni.</w:t>
      </w:r>
    </w:p>
    <w:p w14:paraId="6654A8DA" w14:textId="4DA50848" w:rsidR="00B2042E" w:rsidRPr="00540AEE" w:rsidRDefault="00B2042E" w:rsidP="000F0ED1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b/>
          <w:sz w:val="20"/>
          <w:szCs w:val="20"/>
        </w:rPr>
      </w:pPr>
      <w:r w:rsidRPr="00540AEE">
        <w:rPr>
          <w:b/>
          <w:sz w:val="20"/>
          <w:szCs w:val="20"/>
        </w:rPr>
        <w:lastRenderedPageBreak/>
        <w:t>Wysokość postąpienia:</w:t>
      </w:r>
      <w:r w:rsidRPr="00540AEE">
        <w:rPr>
          <w:sz w:val="20"/>
          <w:szCs w:val="20"/>
        </w:rPr>
        <w:t xml:space="preserve"> o wysokości postąpienia decydują uczestnicy przetargu, z tym że postąpienie nie może wynosić mniej niż 1% ceny wywoławczej, z zaokrągleniem do pełnych dziesiątek złotych i wynosi minimum </w:t>
      </w:r>
      <w:r w:rsidR="001813D8">
        <w:rPr>
          <w:b/>
          <w:sz w:val="20"/>
          <w:szCs w:val="20"/>
        </w:rPr>
        <w:t>1.</w:t>
      </w:r>
      <w:r w:rsidR="00744241">
        <w:rPr>
          <w:b/>
          <w:sz w:val="20"/>
          <w:szCs w:val="20"/>
        </w:rPr>
        <w:t>2</w:t>
      </w:r>
      <w:r w:rsidR="001813D8">
        <w:rPr>
          <w:b/>
          <w:sz w:val="20"/>
          <w:szCs w:val="20"/>
        </w:rPr>
        <w:t>00</w:t>
      </w:r>
      <w:r w:rsidRPr="00540AEE">
        <w:rPr>
          <w:b/>
          <w:sz w:val="20"/>
          <w:szCs w:val="20"/>
        </w:rPr>
        <w:t xml:space="preserve"> zł</w:t>
      </w:r>
      <w:r w:rsidRPr="00540AEE">
        <w:rPr>
          <w:sz w:val="20"/>
          <w:szCs w:val="20"/>
        </w:rPr>
        <w:t>.</w:t>
      </w:r>
    </w:p>
    <w:p w14:paraId="58DEAFCD" w14:textId="77777777" w:rsidR="00590719" w:rsidRPr="0034645F" w:rsidRDefault="00590719" w:rsidP="000F0ED1">
      <w:pPr>
        <w:numPr>
          <w:ilvl w:val="0"/>
          <w:numId w:val="2"/>
        </w:numPr>
        <w:autoSpaceDE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Skutki uchylenia się od zawarcia umowy sprzedaży: </w:t>
      </w:r>
      <w:r>
        <w:rPr>
          <w:sz w:val="20"/>
          <w:szCs w:val="20"/>
        </w:rPr>
        <w:t>jeżeli uczestnik przetargu ustalony j</w:t>
      </w:r>
      <w:r w:rsidR="000B6DF2">
        <w:rPr>
          <w:sz w:val="20"/>
          <w:szCs w:val="20"/>
        </w:rPr>
        <w:t>ako N</w:t>
      </w:r>
      <w:r>
        <w:rPr>
          <w:sz w:val="20"/>
          <w:szCs w:val="20"/>
        </w:rPr>
        <w:t>abywca, uchyli się od podpisania umowy sprzedaży w formie aktu notarialnego, wpłacone wadium nie będzie podlegało zwrotowi.</w:t>
      </w:r>
    </w:p>
    <w:p w14:paraId="720B27EE" w14:textId="77777777" w:rsidR="00590719" w:rsidRDefault="00590719" w:rsidP="000F0ED1">
      <w:pPr>
        <w:numPr>
          <w:ilvl w:val="0"/>
          <w:numId w:val="2"/>
        </w:numPr>
        <w:autoSpaceDE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Informacje dodatkowe</w:t>
      </w:r>
      <w:r>
        <w:rPr>
          <w:sz w:val="20"/>
          <w:szCs w:val="20"/>
        </w:rPr>
        <w:t>:</w:t>
      </w:r>
    </w:p>
    <w:p w14:paraId="5918F568" w14:textId="7CD3E88B" w:rsidR="006D5AAE" w:rsidRDefault="006D5AAE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Nieruchomość </w:t>
      </w:r>
      <w:r w:rsidR="00091245">
        <w:rPr>
          <w:sz w:val="20"/>
          <w:szCs w:val="20"/>
        </w:rPr>
        <w:t xml:space="preserve">lokalowa </w:t>
      </w:r>
      <w:r>
        <w:rPr>
          <w:sz w:val="20"/>
          <w:szCs w:val="20"/>
        </w:rPr>
        <w:t>objęta przetargiem była przedmiotem</w:t>
      </w:r>
      <w:r w:rsidR="00130AD0">
        <w:rPr>
          <w:sz w:val="20"/>
          <w:szCs w:val="20"/>
        </w:rPr>
        <w:t>:</w:t>
      </w:r>
      <w:r>
        <w:rPr>
          <w:sz w:val="20"/>
          <w:szCs w:val="20"/>
        </w:rPr>
        <w:t xml:space="preserve"> pierwszego ustnego przetargu nieograniczonego, przeprowadzonego w dniu 23 października 2023 r., </w:t>
      </w:r>
      <w:r w:rsidR="00130AD0">
        <w:rPr>
          <w:sz w:val="20"/>
          <w:szCs w:val="20"/>
        </w:rPr>
        <w:t xml:space="preserve">drugiego ustnego przetargu nieograniczonego, przeprowadzonego w dniu 12 lutego 2024 r., </w:t>
      </w:r>
      <w:r w:rsidR="00744241">
        <w:rPr>
          <w:sz w:val="20"/>
          <w:szCs w:val="20"/>
        </w:rPr>
        <w:t>trzeciego</w:t>
      </w:r>
      <w:r w:rsidR="00744241">
        <w:rPr>
          <w:sz w:val="20"/>
          <w:szCs w:val="20"/>
        </w:rPr>
        <w:t xml:space="preserve"> ustnego przetargu nieograniczonego, przeprowadzonego w dniu </w:t>
      </w:r>
      <w:r w:rsidR="00744241">
        <w:rPr>
          <w:sz w:val="20"/>
          <w:szCs w:val="20"/>
        </w:rPr>
        <w:t>3 czerwca</w:t>
      </w:r>
      <w:r w:rsidR="00744241">
        <w:rPr>
          <w:sz w:val="20"/>
          <w:szCs w:val="20"/>
        </w:rPr>
        <w:t xml:space="preserve"> 2024 r</w:t>
      </w:r>
      <w:r w:rsidR="00744241">
        <w:rPr>
          <w:sz w:val="20"/>
          <w:szCs w:val="20"/>
        </w:rPr>
        <w:t xml:space="preserve">., </w:t>
      </w:r>
      <w:r>
        <w:rPr>
          <w:sz w:val="20"/>
          <w:szCs w:val="20"/>
        </w:rPr>
        <w:t>któr</w:t>
      </w:r>
      <w:r w:rsidR="00130AD0">
        <w:rPr>
          <w:sz w:val="20"/>
          <w:szCs w:val="20"/>
        </w:rPr>
        <w:t>e</w:t>
      </w:r>
      <w:r>
        <w:rPr>
          <w:sz w:val="20"/>
          <w:szCs w:val="20"/>
        </w:rPr>
        <w:t xml:space="preserve"> zakończył</w:t>
      </w:r>
      <w:r w:rsidR="00130AD0">
        <w:rPr>
          <w:sz w:val="20"/>
          <w:szCs w:val="20"/>
        </w:rPr>
        <w:t>y</w:t>
      </w:r>
      <w:r>
        <w:rPr>
          <w:sz w:val="20"/>
          <w:szCs w:val="20"/>
        </w:rPr>
        <w:t xml:space="preserve"> się wynikiem negatywnym.</w:t>
      </w:r>
    </w:p>
    <w:p w14:paraId="3107DB36" w14:textId="04B97061" w:rsidR="00590719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Nieruchomość lokalowa objęta przetargiem stanowi własność Gminy Miasto Elbląg i nie jest obciążona żadnymi prawami</w:t>
      </w:r>
      <w:r w:rsidR="00835593">
        <w:rPr>
          <w:sz w:val="20"/>
          <w:szCs w:val="20"/>
        </w:rPr>
        <w:t xml:space="preserve"> i długami wobec osób trzecich.</w:t>
      </w:r>
    </w:p>
    <w:p w14:paraId="0D094CB5" w14:textId="6D6D0ED0" w:rsidR="00091245" w:rsidRDefault="00956FCD" w:rsidP="000F0ED1">
      <w:pPr>
        <w:widowControl w:val="0"/>
        <w:numPr>
          <w:ilvl w:val="1"/>
          <w:numId w:val="2"/>
        </w:numPr>
        <w:tabs>
          <w:tab w:val="left" w:pos="709"/>
          <w:tab w:val="left" w:pos="13892"/>
        </w:tabs>
        <w:autoSpaceDE w:val="0"/>
        <w:spacing w:line="276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Budynek, w którym usytuowany jest </w:t>
      </w:r>
      <w:r w:rsidR="00091245">
        <w:rPr>
          <w:sz w:val="20"/>
          <w:szCs w:val="20"/>
        </w:rPr>
        <w:t>lokal obję</w:t>
      </w:r>
      <w:r>
        <w:rPr>
          <w:sz w:val="20"/>
          <w:szCs w:val="20"/>
        </w:rPr>
        <w:t>ty</w:t>
      </w:r>
      <w:r w:rsidR="00091245">
        <w:rPr>
          <w:sz w:val="20"/>
          <w:szCs w:val="20"/>
        </w:rPr>
        <w:t xml:space="preserve"> przetargiem</w:t>
      </w:r>
      <w:r>
        <w:rPr>
          <w:sz w:val="20"/>
          <w:szCs w:val="20"/>
        </w:rPr>
        <w:t>,</w:t>
      </w:r>
      <w:r w:rsidR="00F5101B">
        <w:rPr>
          <w:sz w:val="20"/>
          <w:szCs w:val="20"/>
        </w:rPr>
        <w:t xml:space="preserve"> wpisan</w:t>
      </w:r>
      <w:r>
        <w:rPr>
          <w:sz w:val="20"/>
          <w:szCs w:val="20"/>
        </w:rPr>
        <w:t>y</w:t>
      </w:r>
      <w:r w:rsidR="00F5101B">
        <w:rPr>
          <w:sz w:val="20"/>
          <w:szCs w:val="20"/>
        </w:rPr>
        <w:t xml:space="preserve"> jest do Gminnej Ewidencji Zabytków, na podstawie Zarządzenia Nr 490/2012 Prezydenta Miasta Elbląg z dnia 26 października 2012 r. w sprawie założenia Gminnej Ewidencji Zabytków dla Gminy Miasto Elbląg (ze zmianami).</w:t>
      </w:r>
    </w:p>
    <w:p w14:paraId="157162F0" w14:textId="7B086B4C" w:rsidR="00590719" w:rsidRDefault="00590719" w:rsidP="000F0ED1">
      <w:pPr>
        <w:widowControl w:val="0"/>
        <w:numPr>
          <w:ilvl w:val="1"/>
          <w:numId w:val="2"/>
        </w:numPr>
        <w:tabs>
          <w:tab w:val="left" w:pos="709"/>
          <w:tab w:val="left" w:pos="13892"/>
        </w:tabs>
        <w:autoSpaceDE w:val="0"/>
        <w:spacing w:line="276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Gmina Miasto Elbląg nie ponosi odpowiedzialności za wady ukryte nieruchomości.</w:t>
      </w:r>
    </w:p>
    <w:p w14:paraId="5FB4D0D0" w14:textId="3B31C724" w:rsidR="00835593" w:rsidRPr="00091245" w:rsidRDefault="00590719" w:rsidP="00091245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091245">
        <w:rPr>
          <w:sz w:val="20"/>
          <w:szCs w:val="20"/>
        </w:rPr>
        <w:t>Sprzedaż i wydanie nieruchomości w posiadanie Nabywcy</w:t>
      </w:r>
      <w:r w:rsidR="000B6DF2" w:rsidRPr="00091245">
        <w:rPr>
          <w:sz w:val="20"/>
          <w:szCs w:val="20"/>
        </w:rPr>
        <w:t>,</w:t>
      </w:r>
      <w:r w:rsidRPr="00091245">
        <w:rPr>
          <w:sz w:val="20"/>
          <w:szCs w:val="20"/>
        </w:rPr>
        <w:t xml:space="preserve"> następuje według danych zawartych w ewidencji gruntów i </w:t>
      </w:r>
      <w:r w:rsidR="00EF6E40" w:rsidRPr="00091245">
        <w:rPr>
          <w:sz w:val="20"/>
          <w:szCs w:val="20"/>
        </w:rPr>
        <w:t xml:space="preserve">budynków i </w:t>
      </w:r>
      <w:r w:rsidRPr="00091245">
        <w:rPr>
          <w:sz w:val="20"/>
          <w:szCs w:val="20"/>
        </w:rPr>
        <w:t>w aktualnym stanie zagospodarowania.</w:t>
      </w:r>
    </w:p>
    <w:p w14:paraId="36BBB5FF" w14:textId="2016C762" w:rsidR="00835593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835593">
        <w:rPr>
          <w:sz w:val="20"/>
          <w:szCs w:val="20"/>
        </w:rPr>
        <w:t>Przetarg przeprowadzony zostanie w trybie przewidzianym przepisami ustawy z dnia 21 sierpnia 1997 r. o gospodarce nieruchomościami (t.j. Dz.U. z 20</w:t>
      </w:r>
      <w:r w:rsidR="003A5EED">
        <w:rPr>
          <w:sz w:val="20"/>
          <w:szCs w:val="20"/>
        </w:rPr>
        <w:t>2</w:t>
      </w:r>
      <w:r w:rsidR="001813D8">
        <w:rPr>
          <w:sz w:val="20"/>
          <w:szCs w:val="20"/>
        </w:rPr>
        <w:t>3</w:t>
      </w:r>
      <w:r w:rsidRPr="00835593">
        <w:rPr>
          <w:sz w:val="20"/>
          <w:szCs w:val="20"/>
        </w:rPr>
        <w:t xml:space="preserve"> r. poz. </w:t>
      </w:r>
      <w:r w:rsidR="001813D8">
        <w:rPr>
          <w:sz w:val="20"/>
          <w:szCs w:val="20"/>
        </w:rPr>
        <w:t>344</w:t>
      </w:r>
      <w:r w:rsidR="00920A88">
        <w:rPr>
          <w:sz w:val="20"/>
          <w:szCs w:val="20"/>
        </w:rPr>
        <w:t xml:space="preserve"> ze zm.</w:t>
      </w:r>
      <w:r w:rsidRPr="00835593">
        <w:rPr>
          <w:sz w:val="20"/>
          <w:szCs w:val="20"/>
        </w:rPr>
        <w:t>) oraz rozporządzenia Rady Ministrów z dnia 14 września 2004 r. w sprawie sposobu i trybu przeprowadzania przetargów oraz rokowań na zbycie nieruchomości (</w:t>
      </w:r>
      <w:r w:rsidR="003A5EED">
        <w:rPr>
          <w:sz w:val="20"/>
          <w:szCs w:val="20"/>
        </w:rPr>
        <w:t>t.j.Dz.U. z 2021 r., poz.2213</w:t>
      </w:r>
      <w:r w:rsidRPr="00835593">
        <w:rPr>
          <w:sz w:val="20"/>
          <w:szCs w:val="20"/>
        </w:rPr>
        <w:t>).</w:t>
      </w:r>
    </w:p>
    <w:p w14:paraId="5A41C9D5" w14:textId="77777777" w:rsidR="00835593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835593">
        <w:rPr>
          <w:sz w:val="20"/>
          <w:szCs w:val="20"/>
        </w:rPr>
        <w:t>Przetarg będzie ważny bez względu na liczbę uczestników, jeżeli chociaż jeden uczestnik zaoferuje cenę wyższą od ceny wywoławczej, o co najmniej jedno postąpienie.</w:t>
      </w:r>
    </w:p>
    <w:p w14:paraId="28E8D42F" w14:textId="77777777" w:rsidR="00835593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835593">
        <w:rPr>
          <w:sz w:val="20"/>
          <w:szCs w:val="20"/>
        </w:rPr>
        <w:t>Nabycie nieruchomości przez cudzoziemca, w rozumieniu przepisów ustawy o nabywaniu nieruchomości przez cudzoziemców, wymaga uzyskania zezwolenia ministra właściwego do spraw wewnętrznych i administracji. W przypadku nie uzyskania zezwolenia wpłacone wadium nie będzie podlegało zwrotowi.</w:t>
      </w:r>
    </w:p>
    <w:p w14:paraId="0720E6D2" w14:textId="77777777" w:rsidR="00835593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835593">
        <w:rPr>
          <w:sz w:val="20"/>
          <w:szCs w:val="20"/>
        </w:rPr>
        <w:t>Organizator przetargu</w:t>
      </w:r>
      <w:r w:rsidR="000B6DF2">
        <w:rPr>
          <w:sz w:val="20"/>
          <w:szCs w:val="20"/>
        </w:rPr>
        <w:t xml:space="preserve"> zawiadomi osobę ustaloną jako N</w:t>
      </w:r>
      <w:r w:rsidRPr="00835593">
        <w:rPr>
          <w:sz w:val="20"/>
          <w:szCs w:val="20"/>
        </w:rPr>
        <w:t>abywca nieruchomości o miejscu i terminie zawarcia umowy sprzedaży, najpóźniej w terminie 21 dni od dnia rozstrzygnięcia przetargu.</w:t>
      </w:r>
    </w:p>
    <w:p w14:paraId="1443AE4E" w14:textId="77777777" w:rsidR="00590719" w:rsidRPr="00835593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835593">
        <w:rPr>
          <w:sz w:val="20"/>
          <w:szCs w:val="20"/>
        </w:rPr>
        <w:t>Uczestnicy przetargu winni:</w:t>
      </w:r>
    </w:p>
    <w:p w14:paraId="038299AA" w14:textId="77777777" w:rsidR="00590719" w:rsidRDefault="00590719" w:rsidP="000F0ED1">
      <w:pPr>
        <w:numPr>
          <w:ilvl w:val="2"/>
          <w:numId w:val="4"/>
        </w:numPr>
        <w:tabs>
          <w:tab w:val="left" w:pos="993"/>
        </w:tabs>
        <w:autoSpaceDE w:val="0"/>
        <w:spacing w:line="276" w:lineRule="auto"/>
        <w:ind w:left="993" w:hanging="209"/>
        <w:jc w:val="both"/>
        <w:rPr>
          <w:sz w:val="20"/>
          <w:szCs w:val="20"/>
        </w:rPr>
      </w:pPr>
      <w:r>
        <w:rPr>
          <w:sz w:val="20"/>
          <w:szCs w:val="20"/>
        </w:rPr>
        <w:t>legitymować się dowodem osobi</w:t>
      </w:r>
      <w:r w:rsidR="00EF6E40">
        <w:rPr>
          <w:sz w:val="20"/>
          <w:szCs w:val="20"/>
        </w:rPr>
        <w:t>stym, a ponadto w przypadku pro</w:t>
      </w:r>
      <w:r>
        <w:rPr>
          <w:sz w:val="20"/>
          <w:szCs w:val="20"/>
        </w:rPr>
        <w:t>wadzenia działalności gospodarczej należy posiadać i przedłożyć komisji przetargowej:</w:t>
      </w:r>
    </w:p>
    <w:p w14:paraId="444DD27E" w14:textId="603F47E8" w:rsidR="00590719" w:rsidRPr="00F5101B" w:rsidRDefault="00590719" w:rsidP="000F0ED1">
      <w:pPr>
        <w:numPr>
          <w:ilvl w:val="3"/>
          <w:numId w:val="4"/>
        </w:numPr>
        <w:tabs>
          <w:tab w:val="left" w:pos="1276"/>
        </w:tabs>
        <w:autoSpaceDE w:val="0"/>
        <w:spacing w:line="276" w:lineRule="auto"/>
        <w:ind w:left="1276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fizyczne - zaświadczenie o wpisie w CEIDG (wydrukowane ze strony internetowej Centralnej Ewidencji i Informacji o Działalności Gospodarczej </w:t>
      </w:r>
      <w:hyperlink r:id="rId12" w:history="1">
        <w:r w:rsidR="00F5101B" w:rsidRPr="00F5101B">
          <w:rPr>
            <w:rStyle w:val="Hipercze"/>
            <w:sz w:val="20"/>
            <w:szCs w:val="20"/>
          </w:rPr>
          <w:t>https://www.biznes.gov.pl/pl/wyszukiwarka-firm/</w:t>
        </w:r>
      </w:hyperlink>
      <w:r w:rsidRPr="00F5101B">
        <w:rPr>
          <w:sz w:val="20"/>
          <w:szCs w:val="20"/>
        </w:rPr>
        <w:t>),</w:t>
      </w:r>
    </w:p>
    <w:p w14:paraId="78910D67" w14:textId="77777777" w:rsidR="00590719" w:rsidRDefault="00590719" w:rsidP="000F0ED1">
      <w:pPr>
        <w:numPr>
          <w:ilvl w:val="3"/>
          <w:numId w:val="4"/>
        </w:numPr>
        <w:tabs>
          <w:tab w:val="left" w:pos="1276"/>
        </w:tabs>
        <w:autoSpaceDE w:val="0"/>
        <w:spacing w:line="276" w:lineRule="auto"/>
        <w:ind w:left="1276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prawne – wypis z właściwego rejestru, a w przypadku KRS - informację odpowiadającą odpisowi aktualnemu z Rejestru Przedsiębiorców (wydrukowaną ze strony internetowej Ministerstwa Sprawiedliwości </w:t>
      </w:r>
      <w:hyperlink r:id="rId13" w:history="1">
        <w:r>
          <w:rPr>
            <w:rStyle w:val="Hipercze"/>
            <w:sz w:val="20"/>
            <w:szCs w:val="20"/>
          </w:rPr>
          <w:t>https://ems.ms.gov.pl</w:t>
        </w:r>
      </w:hyperlink>
      <w:r w:rsidR="00710DCF">
        <w:rPr>
          <w:sz w:val="20"/>
          <w:szCs w:val="20"/>
        </w:rPr>
        <w:t>) oraz zgo</w:t>
      </w:r>
      <w:r>
        <w:rPr>
          <w:sz w:val="20"/>
          <w:szCs w:val="20"/>
        </w:rPr>
        <w:t>dę organów statutowych na nabycie nieru</w:t>
      </w:r>
      <w:r>
        <w:rPr>
          <w:sz w:val="20"/>
          <w:szCs w:val="20"/>
        </w:rPr>
        <w:softHyphen/>
        <w:t>chomości stanowiącej przedmiot przetargu,</w:t>
      </w:r>
    </w:p>
    <w:p w14:paraId="6FBC1C41" w14:textId="77777777" w:rsidR="00590719" w:rsidRDefault="00590719" w:rsidP="000F0ED1">
      <w:pPr>
        <w:numPr>
          <w:ilvl w:val="2"/>
          <w:numId w:val="4"/>
        </w:numPr>
        <w:tabs>
          <w:tab w:val="left" w:pos="993"/>
        </w:tabs>
        <w:autoSpaceDE w:val="0"/>
        <w:spacing w:line="276" w:lineRule="auto"/>
        <w:ind w:left="993" w:hanging="209"/>
        <w:jc w:val="both"/>
        <w:rPr>
          <w:sz w:val="20"/>
          <w:szCs w:val="20"/>
        </w:rPr>
      </w:pPr>
      <w:r>
        <w:rPr>
          <w:sz w:val="20"/>
          <w:szCs w:val="20"/>
        </w:rPr>
        <w:t>złożyć pisemne oświadczenie o zapoznaniu się z warunkami i przedmiotem przetargu oraz o przyjęciu ich bez zastrzeżeń,</w:t>
      </w:r>
    </w:p>
    <w:p w14:paraId="1E94E2ED" w14:textId="77777777" w:rsidR="00700ACE" w:rsidRDefault="00590719" w:rsidP="000F0ED1">
      <w:pPr>
        <w:numPr>
          <w:ilvl w:val="2"/>
          <w:numId w:val="4"/>
        </w:numPr>
        <w:tabs>
          <w:tab w:val="left" w:pos="993"/>
        </w:tabs>
        <w:autoSpaceDE w:val="0"/>
        <w:spacing w:line="276" w:lineRule="auto"/>
        <w:ind w:left="993" w:hanging="209"/>
        <w:jc w:val="both"/>
        <w:rPr>
          <w:sz w:val="20"/>
          <w:szCs w:val="20"/>
        </w:rPr>
      </w:pPr>
      <w:r>
        <w:rPr>
          <w:sz w:val="20"/>
          <w:szCs w:val="20"/>
        </w:rPr>
        <w:t>złożyć pisemne oświadczenie, że znany jest im stan prawny i stan zagospodarowania nierucho</w:t>
      </w:r>
      <w:r w:rsidR="00700ACE">
        <w:rPr>
          <w:sz w:val="20"/>
          <w:szCs w:val="20"/>
        </w:rPr>
        <w:t>mości,</w:t>
      </w:r>
    </w:p>
    <w:p w14:paraId="50D25492" w14:textId="77777777" w:rsidR="00700ACE" w:rsidRDefault="00700ACE" w:rsidP="000F0ED1">
      <w:pPr>
        <w:numPr>
          <w:ilvl w:val="2"/>
          <w:numId w:val="4"/>
        </w:numPr>
        <w:tabs>
          <w:tab w:val="left" w:pos="993"/>
        </w:tabs>
        <w:autoSpaceDE w:val="0"/>
        <w:spacing w:line="276" w:lineRule="auto"/>
        <w:ind w:left="993" w:hanging="209"/>
        <w:jc w:val="both"/>
        <w:rPr>
          <w:sz w:val="20"/>
          <w:szCs w:val="20"/>
        </w:rPr>
      </w:pPr>
      <w:r w:rsidRPr="00700ACE">
        <w:rPr>
          <w:sz w:val="20"/>
          <w:szCs w:val="20"/>
        </w:rPr>
        <w:t>złożyć pisemne oświadczenie o sposobie uczestnictwa w przetargu i sposobie nabycia wylicytowanej nieruchomości,</w:t>
      </w:r>
    </w:p>
    <w:p w14:paraId="300340E7" w14:textId="77777777" w:rsidR="00700ACE" w:rsidRPr="00700ACE" w:rsidRDefault="00700ACE" w:rsidP="000F0ED1">
      <w:pPr>
        <w:numPr>
          <w:ilvl w:val="2"/>
          <w:numId w:val="4"/>
        </w:numPr>
        <w:tabs>
          <w:tab w:val="left" w:pos="993"/>
        </w:tabs>
        <w:autoSpaceDE w:val="0"/>
        <w:spacing w:line="276" w:lineRule="auto"/>
        <w:ind w:left="993" w:hanging="209"/>
        <w:jc w:val="both"/>
        <w:rPr>
          <w:sz w:val="20"/>
          <w:szCs w:val="20"/>
        </w:rPr>
      </w:pPr>
      <w:r w:rsidRPr="00700ACE">
        <w:rPr>
          <w:sz w:val="20"/>
          <w:szCs w:val="20"/>
        </w:rPr>
        <w:t>złożyć pisemne oświadczenie o wyrażeniu zgody na przetwarzanie danych osobowych w celach związanych z nabyciem wylicytowanej nieruchomości.</w:t>
      </w:r>
    </w:p>
    <w:p w14:paraId="07DDABEC" w14:textId="77777777" w:rsidR="00590719" w:rsidRPr="00835593" w:rsidRDefault="00590719" w:rsidP="000F0ED1">
      <w:pPr>
        <w:pStyle w:val="Akapitzlist"/>
        <w:numPr>
          <w:ilvl w:val="1"/>
          <w:numId w:val="2"/>
        </w:numPr>
        <w:tabs>
          <w:tab w:val="clear" w:pos="1118"/>
          <w:tab w:val="left" w:pos="709"/>
          <w:tab w:val="num" w:pos="758"/>
        </w:tabs>
        <w:autoSpaceDE w:val="0"/>
        <w:spacing w:line="276" w:lineRule="auto"/>
        <w:ind w:left="709"/>
        <w:jc w:val="both"/>
        <w:rPr>
          <w:sz w:val="20"/>
          <w:szCs w:val="20"/>
        </w:rPr>
      </w:pPr>
      <w:r w:rsidRPr="00835593">
        <w:rPr>
          <w:sz w:val="20"/>
          <w:szCs w:val="20"/>
        </w:rPr>
        <w:lastRenderedPageBreak/>
        <w:t>W przypadku osób fizycznych, które przystępując do przetargu w ramach spółki cywilnej, działają również na rzecz nieuczestniczących w przetargu wspólników, winna zostać przedstawiona zgoda wspólników na nabycie nieruchomości lub umowa spółki uprawniająca wspólnika/wspólników uczestniczących w przetargu do nabywania nieruchomości bez zgody pozostałych wspólników.</w:t>
      </w:r>
    </w:p>
    <w:p w14:paraId="5E193395" w14:textId="77777777" w:rsidR="00590719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przypadku działania poprzez pełnomocnika, pełnomocnik winien ponadto przedłożyć komisji przetargowej oryginał pełnomocnictwa sporządzonego w formie aktu notarialnego lub pełnomocnictwa z notarialnie poświadczonym podpisem.</w:t>
      </w:r>
    </w:p>
    <w:p w14:paraId="07DCB379" w14:textId="77777777" w:rsidR="00590719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przypadku nabywania nieruchomości przez małżonków do wspólności ustawowej, na przetargu winni stawić się oboje małżonkowie lub jeden z małżonków wraz z oryginałem szczegółowego pełnomocnictwa, sporządzonego w formie aktu notarialnego lub pełnomocnictwa z notarialnie poświadczonym podpisem albo ich pełnomocnik wraz z oryginałami szczegółowych pełnomocnictw obydwojga z małżonków, sporządzonymi w formie aktów notarialnych lub pełnomocnictw z notarialnie poświadczonymi podpisami.</w:t>
      </w:r>
    </w:p>
    <w:p w14:paraId="38DDE25A" w14:textId="77777777" w:rsidR="00590719" w:rsidRDefault="00590719" w:rsidP="000F0ED1">
      <w:pPr>
        <w:numPr>
          <w:ilvl w:val="1"/>
          <w:numId w:val="2"/>
        </w:numPr>
        <w:tabs>
          <w:tab w:val="left" w:pos="709"/>
        </w:tabs>
        <w:autoSpaceDE w:val="0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Wszelkie koszty, w tym w szczególności opłaty notarialne i sądowe, związane ze spisaniem umowy sprzedaży ponosi Nabywca.</w:t>
      </w:r>
    </w:p>
    <w:p w14:paraId="334175C8" w14:textId="77777777" w:rsidR="000B1AA6" w:rsidRPr="00C84EE3" w:rsidRDefault="00590719" w:rsidP="000F0ED1">
      <w:pPr>
        <w:pStyle w:val="Akapitzlist"/>
        <w:numPr>
          <w:ilvl w:val="0"/>
          <w:numId w:val="2"/>
        </w:numPr>
        <w:tabs>
          <w:tab w:val="left" w:pos="398"/>
        </w:tabs>
        <w:autoSpaceDE w:val="0"/>
        <w:spacing w:line="276" w:lineRule="auto"/>
        <w:jc w:val="both"/>
        <w:rPr>
          <w:b/>
          <w:sz w:val="20"/>
          <w:szCs w:val="20"/>
        </w:rPr>
      </w:pPr>
      <w:r w:rsidRPr="00C84EE3">
        <w:rPr>
          <w:b/>
          <w:sz w:val="20"/>
          <w:szCs w:val="20"/>
        </w:rPr>
        <w:t>Zastrzeżenia:</w:t>
      </w:r>
      <w:r w:rsidRPr="00C84EE3">
        <w:rPr>
          <w:sz w:val="20"/>
          <w:szCs w:val="20"/>
        </w:rPr>
        <w:t xml:space="preserve"> Prezydent Miasta Elbląg może odwołać ogłoszony przetarg jedynie z ważnych powodów, niezwłocznie podając informację o odwołaniu przetargu do publicznej wiadomości z podaniem przyczyny odwołania przetargu.</w:t>
      </w:r>
    </w:p>
    <w:sectPr w:rsidR="000B1AA6" w:rsidRPr="00C84EE3" w:rsidSect="0034645F">
      <w:headerReference w:type="default" r:id="rId14"/>
      <w:footerReference w:type="default" r:id="rId15"/>
      <w:pgSz w:w="11906" w:h="16838"/>
      <w:pgMar w:top="709" w:right="1134" w:bottom="1304" w:left="1134" w:header="397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752D" w14:textId="77777777" w:rsidR="003A4688" w:rsidRDefault="003A4688">
      <w:r>
        <w:separator/>
      </w:r>
    </w:p>
  </w:endnote>
  <w:endnote w:type="continuationSeparator" w:id="0">
    <w:p w14:paraId="0272CFA2" w14:textId="77777777" w:rsidR="003A4688" w:rsidRDefault="003A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6067759"/>
      <w:docPartObj>
        <w:docPartGallery w:val="Page Numbers (Bottom of Page)"/>
        <w:docPartUnique/>
      </w:docPartObj>
    </w:sdtPr>
    <w:sdtEndPr/>
    <w:sdtContent>
      <w:p w14:paraId="4D2FF97F" w14:textId="77777777" w:rsidR="003A4688" w:rsidRDefault="00564CF0" w:rsidP="00835593">
        <w:pPr>
          <w:pStyle w:val="Stopka"/>
          <w:jc w:val="right"/>
        </w:pPr>
        <w:r w:rsidRPr="00835593">
          <w:rPr>
            <w:rFonts w:ascii="Tahoma" w:hAnsi="Tahoma" w:cs="Tahoma"/>
            <w:sz w:val="14"/>
            <w:szCs w:val="14"/>
          </w:rPr>
          <w:fldChar w:fldCharType="begin"/>
        </w:r>
        <w:r w:rsidR="00835593" w:rsidRPr="00835593">
          <w:rPr>
            <w:rFonts w:ascii="Tahoma" w:hAnsi="Tahoma" w:cs="Tahoma"/>
            <w:sz w:val="14"/>
            <w:szCs w:val="14"/>
          </w:rPr>
          <w:instrText>PAGE   \* MERGEFORMAT</w:instrText>
        </w:r>
        <w:r w:rsidRPr="00835593">
          <w:rPr>
            <w:rFonts w:ascii="Tahoma" w:hAnsi="Tahoma" w:cs="Tahoma"/>
            <w:sz w:val="14"/>
            <w:szCs w:val="14"/>
          </w:rPr>
          <w:fldChar w:fldCharType="separate"/>
        </w:r>
        <w:r w:rsidR="003A5EED">
          <w:rPr>
            <w:rFonts w:ascii="Tahoma" w:hAnsi="Tahoma" w:cs="Tahoma"/>
            <w:noProof/>
            <w:sz w:val="14"/>
            <w:szCs w:val="14"/>
          </w:rPr>
          <w:t>3</w:t>
        </w:r>
        <w:r w:rsidRPr="00835593">
          <w:rPr>
            <w:rFonts w:ascii="Tahoma" w:hAnsi="Tahoma" w:cs="Tahoma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4063" w14:textId="77777777" w:rsidR="003A4688" w:rsidRDefault="003A4688">
      <w:r>
        <w:separator/>
      </w:r>
    </w:p>
  </w:footnote>
  <w:footnote w:type="continuationSeparator" w:id="0">
    <w:p w14:paraId="0A28648C" w14:textId="77777777" w:rsidR="003A4688" w:rsidRDefault="003A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4902" w14:textId="77777777" w:rsidR="003A4688" w:rsidRDefault="003A4688">
    <w:pPr>
      <w:pStyle w:val="Nagwek"/>
      <w:jc w:val="center"/>
      <w:rPr>
        <w:sz w:val="16"/>
        <w:szCs w:val="16"/>
      </w:rPr>
    </w:pPr>
  </w:p>
  <w:p w14:paraId="43BE9860" w14:textId="77777777" w:rsidR="003A4688" w:rsidRDefault="003A4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442F21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bCs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3"/>
      <w:numFmt w:val="lowerLetter"/>
      <w:lvlText w:val="%2)"/>
      <w:lvlJc w:val="left"/>
      <w:pPr>
        <w:tabs>
          <w:tab w:val="num" w:pos="1118"/>
        </w:tabs>
        <w:ind w:left="1118" w:hanging="360"/>
      </w:pPr>
    </w:lvl>
    <w:lvl w:ilvl="2">
      <w:start w:val="1"/>
      <w:numFmt w:val="bullet"/>
      <w:lvlText w:val=""/>
      <w:lvlJc w:val="left"/>
      <w:pPr>
        <w:tabs>
          <w:tab w:val="num" w:pos="2018"/>
        </w:tabs>
        <w:ind w:left="2018" w:hanging="360"/>
      </w:pPr>
      <w:rPr>
        <w:rFonts w:ascii="Symbol" w:hAnsi="Symbol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cs="Wingdings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5A33636"/>
    <w:multiLevelType w:val="hybridMultilevel"/>
    <w:tmpl w:val="0972B2D4"/>
    <w:lvl w:ilvl="0" w:tplc="84065338">
      <w:start w:val="1"/>
      <w:numFmt w:val="bullet"/>
      <w:lvlText w:val="-"/>
      <w:lvlJc w:val="left"/>
      <w:pPr>
        <w:ind w:left="1069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A0C6E"/>
    <w:multiLevelType w:val="multilevel"/>
    <w:tmpl w:val="359CF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  <w:rPr>
        <w:rFonts w:cs="Tahom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abstractNum w:abstractNumId="5" w15:restartNumberingAfterBreak="0">
    <w:nsid w:val="47EA325C"/>
    <w:multiLevelType w:val="multilevel"/>
    <w:tmpl w:val="359CF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  <w:rPr>
        <w:rFonts w:cs="Tahom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num w:numId="1" w16cid:durableId="985209322">
    <w:abstractNumId w:val="0"/>
  </w:num>
  <w:num w:numId="2" w16cid:durableId="142025094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539320">
    <w:abstractNumId w:val="3"/>
  </w:num>
  <w:num w:numId="4" w16cid:durableId="759302118">
    <w:abstractNumId w:val="1"/>
    <w:lvlOverride w:ilvl="0">
      <w:startOverride w:val="2"/>
    </w:lvlOverride>
    <w:lvlOverride w:ilvl="1">
      <w:startOverride w:val="3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8257">
    <w:abstractNumId w:val="2"/>
  </w:num>
  <w:num w:numId="6" w16cid:durableId="622200605">
    <w:abstractNumId w:val="5"/>
  </w:num>
  <w:num w:numId="7" w16cid:durableId="8442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8AA"/>
    <w:rsid w:val="0002127B"/>
    <w:rsid w:val="00064509"/>
    <w:rsid w:val="00081D17"/>
    <w:rsid w:val="00091245"/>
    <w:rsid w:val="000B1AA6"/>
    <w:rsid w:val="000B6DF2"/>
    <w:rsid w:val="000D02F2"/>
    <w:rsid w:val="000F0ED1"/>
    <w:rsid w:val="000F69B7"/>
    <w:rsid w:val="00124036"/>
    <w:rsid w:val="00130AD0"/>
    <w:rsid w:val="0014798C"/>
    <w:rsid w:val="001813D8"/>
    <w:rsid w:val="00196422"/>
    <w:rsid w:val="001A04A6"/>
    <w:rsid w:val="001A7480"/>
    <w:rsid w:val="001B02D9"/>
    <w:rsid w:val="001D540F"/>
    <w:rsid w:val="0022365A"/>
    <w:rsid w:val="00265877"/>
    <w:rsid w:val="002A1328"/>
    <w:rsid w:val="002A2839"/>
    <w:rsid w:val="002B10AD"/>
    <w:rsid w:val="002E71BE"/>
    <w:rsid w:val="0034645F"/>
    <w:rsid w:val="003471E4"/>
    <w:rsid w:val="003A4688"/>
    <w:rsid w:val="003A5EED"/>
    <w:rsid w:val="003B3E29"/>
    <w:rsid w:val="003D145B"/>
    <w:rsid w:val="00434DE0"/>
    <w:rsid w:val="00487831"/>
    <w:rsid w:val="004D3DB7"/>
    <w:rsid w:val="004D61EE"/>
    <w:rsid w:val="00515F1E"/>
    <w:rsid w:val="00540AEE"/>
    <w:rsid w:val="00542C9F"/>
    <w:rsid w:val="00564CF0"/>
    <w:rsid w:val="00590719"/>
    <w:rsid w:val="005A1DA6"/>
    <w:rsid w:val="005F11FD"/>
    <w:rsid w:val="00622D64"/>
    <w:rsid w:val="00636A7D"/>
    <w:rsid w:val="00644EA9"/>
    <w:rsid w:val="006B7B85"/>
    <w:rsid w:val="006D5AAE"/>
    <w:rsid w:val="00700ACE"/>
    <w:rsid w:val="00710DCF"/>
    <w:rsid w:val="00744241"/>
    <w:rsid w:val="00777FAE"/>
    <w:rsid w:val="007803CC"/>
    <w:rsid w:val="007C79CC"/>
    <w:rsid w:val="007F1571"/>
    <w:rsid w:val="0080194B"/>
    <w:rsid w:val="00835593"/>
    <w:rsid w:val="008518AA"/>
    <w:rsid w:val="008C64E8"/>
    <w:rsid w:val="008D2E7C"/>
    <w:rsid w:val="008D4D07"/>
    <w:rsid w:val="008E4A22"/>
    <w:rsid w:val="008F2608"/>
    <w:rsid w:val="008F2D98"/>
    <w:rsid w:val="009004FE"/>
    <w:rsid w:val="00920A88"/>
    <w:rsid w:val="00927C52"/>
    <w:rsid w:val="00935471"/>
    <w:rsid w:val="00936619"/>
    <w:rsid w:val="00956FCD"/>
    <w:rsid w:val="0098553E"/>
    <w:rsid w:val="009F4281"/>
    <w:rsid w:val="00A02BFC"/>
    <w:rsid w:val="00A121AA"/>
    <w:rsid w:val="00A12866"/>
    <w:rsid w:val="00A16191"/>
    <w:rsid w:val="00A33615"/>
    <w:rsid w:val="00A86BD9"/>
    <w:rsid w:val="00AC051E"/>
    <w:rsid w:val="00AC7FC1"/>
    <w:rsid w:val="00AE2CD6"/>
    <w:rsid w:val="00AF63DE"/>
    <w:rsid w:val="00B15953"/>
    <w:rsid w:val="00B2042E"/>
    <w:rsid w:val="00B2080E"/>
    <w:rsid w:val="00B519D9"/>
    <w:rsid w:val="00B54A61"/>
    <w:rsid w:val="00B95E6F"/>
    <w:rsid w:val="00BF5CF4"/>
    <w:rsid w:val="00C068A5"/>
    <w:rsid w:val="00C318B9"/>
    <w:rsid w:val="00C84EE3"/>
    <w:rsid w:val="00C976F8"/>
    <w:rsid w:val="00CD6966"/>
    <w:rsid w:val="00CE6ED2"/>
    <w:rsid w:val="00CE7D00"/>
    <w:rsid w:val="00D10370"/>
    <w:rsid w:val="00D112F9"/>
    <w:rsid w:val="00DA7594"/>
    <w:rsid w:val="00DE43CC"/>
    <w:rsid w:val="00DE6539"/>
    <w:rsid w:val="00DF2F28"/>
    <w:rsid w:val="00E362BC"/>
    <w:rsid w:val="00E83570"/>
    <w:rsid w:val="00E843E6"/>
    <w:rsid w:val="00EF6E40"/>
    <w:rsid w:val="00F434E1"/>
    <w:rsid w:val="00F5101B"/>
    <w:rsid w:val="00F518EC"/>
    <w:rsid w:val="00F81D9E"/>
    <w:rsid w:val="00FA3728"/>
    <w:rsid w:val="00FC0A1F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A53"/>
  <w15:docId w15:val="{D6CBD1DE-C1E8-4AF8-BD89-5B3956F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BF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2BFC"/>
    <w:rPr>
      <w:color w:val="0000FF"/>
      <w:u w:val="single"/>
    </w:rPr>
  </w:style>
  <w:style w:type="paragraph" w:styleId="Nagwek">
    <w:name w:val="header"/>
    <w:basedOn w:val="Normalny"/>
    <w:link w:val="NagwekZnak"/>
    <w:rsid w:val="00A02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FC"/>
    <w:rPr>
      <w:rFonts w:ascii="Tahoma" w:eastAsia="Times New Roman" w:hAnsi="Tahoma" w:cs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F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F2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84EE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5593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="Times New Roman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5593"/>
    <w:rPr>
      <w:rFonts w:eastAsiaTheme="minorEastAsia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D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D98"/>
    <w:rPr>
      <w:rFonts w:ascii="Tahoma" w:eastAsia="Times New Roman" w:hAnsi="Tahoma" w:cs="Tahoma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D9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5101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lblag.pl/" TargetMode="External"/><Relationship Id="rId13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znes.gov.pl/pl/wyszukiwarka-fir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ig@umelbla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p.elblag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-elblag.samorzady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585614-B9B0-4044-A7B0-26C35666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Kłos</dc:creator>
  <cp:lastModifiedBy>Katarzyna Zaborowska</cp:lastModifiedBy>
  <cp:revision>37</cp:revision>
  <cp:lastPrinted>2020-03-27T10:23:00Z</cp:lastPrinted>
  <dcterms:created xsi:type="dcterms:W3CDTF">2016-02-03T11:49:00Z</dcterms:created>
  <dcterms:modified xsi:type="dcterms:W3CDTF">2024-07-02T11:30:00Z</dcterms:modified>
</cp:coreProperties>
</file>