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D15F" w14:textId="244972B1" w:rsidR="00060965" w:rsidRPr="00507F82" w:rsidRDefault="00060965" w:rsidP="00833570">
      <w:pPr>
        <w:autoSpaceDE w:val="0"/>
        <w:autoSpaceDN w:val="0"/>
        <w:adjustRightInd w:val="0"/>
        <w:spacing w:line="26" w:lineRule="atLeast"/>
        <w:jc w:val="center"/>
        <w:rPr>
          <w:rFonts w:cs="Tahoma"/>
          <w:b/>
          <w:sz w:val="20"/>
          <w:szCs w:val="20"/>
        </w:rPr>
      </w:pPr>
      <w:r w:rsidRPr="00507F82">
        <w:rPr>
          <w:rFonts w:cs="Tahoma"/>
          <w:b/>
          <w:sz w:val="20"/>
          <w:szCs w:val="20"/>
        </w:rPr>
        <w:t>PREZYDENT MIASTA ELBLĄG</w:t>
      </w:r>
    </w:p>
    <w:p w14:paraId="68E66D41" w14:textId="39E8DC25" w:rsidR="00060965" w:rsidRPr="00507F82" w:rsidRDefault="00BB2C75" w:rsidP="00833570">
      <w:pPr>
        <w:autoSpaceDE w:val="0"/>
        <w:autoSpaceDN w:val="0"/>
        <w:adjustRightInd w:val="0"/>
        <w:spacing w:line="26" w:lineRule="atLeast"/>
        <w:jc w:val="center"/>
        <w:rPr>
          <w:rFonts w:cs="Tahoma"/>
          <w:sz w:val="20"/>
          <w:szCs w:val="20"/>
        </w:rPr>
      </w:pPr>
      <w:r w:rsidRPr="00507F82">
        <w:rPr>
          <w:rFonts w:cs="Tahoma"/>
          <w:sz w:val="20"/>
          <w:szCs w:val="20"/>
        </w:rPr>
        <w:t>o</w:t>
      </w:r>
      <w:r w:rsidR="00060965" w:rsidRPr="00507F82">
        <w:rPr>
          <w:rFonts w:cs="Tahoma"/>
          <w:sz w:val="20"/>
          <w:szCs w:val="20"/>
        </w:rPr>
        <w:t>głasza</w:t>
      </w:r>
      <w:r w:rsidRPr="00507F82">
        <w:rPr>
          <w:rFonts w:cs="Tahoma"/>
          <w:sz w:val="20"/>
          <w:szCs w:val="20"/>
        </w:rPr>
        <w:t xml:space="preserve"> </w:t>
      </w:r>
      <w:r w:rsidR="002A7E7F">
        <w:rPr>
          <w:rFonts w:cs="Tahoma"/>
          <w:sz w:val="20"/>
          <w:szCs w:val="20"/>
        </w:rPr>
        <w:t>drugi</w:t>
      </w:r>
      <w:r w:rsidR="00060965" w:rsidRPr="00507F82">
        <w:rPr>
          <w:rFonts w:cs="Tahoma"/>
          <w:sz w:val="20"/>
          <w:szCs w:val="20"/>
        </w:rPr>
        <w:t xml:space="preserve"> ustny przetarg ograniczony na sprzedaż nieruchomości</w:t>
      </w:r>
    </w:p>
    <w:p w14:paraId="3F647349" w14:textId="77777777" w:rsidR="00060965" w:rsidRPr="00507F82" w:rsidRDefault="00060965" w:rsidP="00833570">
      <w:pPr>
        <w:autoSpaceDE w:val="0"/>
        <w:autoSpaceDN w:val="0"/>
        <w:adjustRightInd w:val="0"/>
        <w:spacing w:line="26" w:lineRule="atLeast"/>
        <w:jc w:val="center"/>
        <w:rPr>
          <w:rFonts w:cs="Tahoma"/>
          <w:sz w:val="20"/>
          <w:szCs w:val="20"/>
        </w:rPr>
      </w:pPr>
      <w:r w:rsidRPr="00507F82">
        <w:rPr>
          <w:rFonts w:cs="Tahoma"/>
          <w:sz w:val="20"/>
          <w:szCs w:val="20"/>
        </w:rPr>
        <w:t>stanowiącej własność Gminy Miast</w:t>
      </w:r>
      <w:r w:rsidR="00055C9A" w:rsidRPr="00507F82">
        <w:rPr>
          <w:rFonts w:cs="Tahoma"/>
          <w:sz w:val="20"/>
          <w:szCs w:val="20"/>
        </w:rPr>
        <w:t>o</w:t>
      </w:r>
      <w:r w:rsidRPr="00507F82">
        <w:rPr>
          <w:rFonts w:cs="Tahoma"/>
          <w:sz w:val="20"/>
          <w:szCs w:val="20"/>
        </w:rPr>
        <w:t xml:space="preserve"> Elbląg</w:t>
      </w:r>
    </w:p>
    <w:p w14:paraId="7AC07ACE" w14:textId="02569C08" w:rsidR="002F678A" w:rsidRPr="00507F82" w:rsidRDefault="00060965" w:rsidP="00833570">
      <w:pPr>
        <w:autoSpaceDE w:val="0"/>
        <w:autoSpaceDN w:val="0"/>
        <w:adjustRightInd w:val="0"/>
        <w:spacing w:line="26" w:lineRule="atLeast"/>
        <w:jc w:val="center"/>
        <w:rPr>
          <w:rFonts w:cs="Tahoma"/>
          <w:sz w:val="20"/>
          <w:szCs w:val="20"/>
        </w:rPr>
      </w:pPr>
      <w:r w:rsidRPr="00507F82">
        <w:rPr>
          <w:rFonts w:cs="Tahoma"/>
          <w:sz w:val="20"/>
          <w:szCs w:val="20"/>
        </w:rPr>
        <w:t xml:space="preserve">(strona internetowa: </w:t>
      </w:r>
      <w:hyperlink r:id="rId8" w:history="1">
        <w:r w:rsidRPr="00507F82">
          <w:rPr>
            <w:rStyle w:val="Hipercze"/>
            <w:rFonts w:cs="Tahoma"/>
            <w:sz w:val="20"/>
            <w:szCs w:val="20"/>
          </w:rPr>
          <w:t>www.umelblag.pl</w:t>
        </w:r>
      </w:hyperlink>
      <w:r w:rsidRPr="00507F82">
        <w:rPr>
          <w:rFonts w:cs="Tahoma"/>
          <w:sz w:val="20"/>
          <w:szCs w:val="20"/>
        </w:rPr>
        <w:t xml:space="preserve"> </w:t>
      </w:r>
      <w:r w:rsidR="002F678A" w:rsidRPr="00507F82">
        <w:rPr>
          <w:rFonts w:cs="Tahoma"/>
          <w:sz w:val="20"/>
          <w:szCs w:val="20"/>
        </w:rPr>
        <w:t xml:space="preserve">BIP – </w:t>
      </w:r>
      <w:hyperlink r:id="rId9" w:history="1">
        <w:r w:rsidR="0059555F" w:rsidRPr="004D088C">
          <w:rPr>
            <w:rStyle w:val="Hipercze"/>
            <w:rFonts w:cs="Tahoma"/>
            <w:sz w:val="20"/>
            <w:szCs w:val="20"/>
          </w:rPr>
          <w:t>https://bip.elblag.eu</w:t>
        </w:r>
      </w:hyperlink>
      <w:r w:rsidR="002F678A" w:rsidRPr="00507F82">
        <w:rPr>
          <w:rStyle w:val="Hipercze"/>
          <w:rFonts w:cs="Tahoma"/>
          <w:sz w:val="20"/>
          <w:szCs w:val="20"/>
        </w:rPr>
        <w:t>)</w:t>
      </w:r>
    </w:p>
    <w:p w14:paraId="670424C1" w14:textId="64D0466F" w:rsidR="00060965" w:rsidRPr="00507F82" w:rsidRDefault="4A295D1F" w:rsidP="00833570">
      <w:pPr>
        <w:autoSpaceDE w:val="0"/>
        <w:autoSpaceDN w:val="0"/>
        <w:adjustRightInd w:val="0"/>
        <w:spacing w:line="26" w:lineRule="atLeast"/>
        <w:jc w:val="center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 xml:space="preserve">(tel. kontaktowy 55-239-31-41, 55-239-34-51, </w:t>
      </w:r>
      <w:hyperlink r:id="rId10">
        <w:r w:rsidRPr="4A295D1F">
          <w:rPr>
            <w:rStyle w:val="Hipercze"/>
            <w:rFonts w:cs="Tahoma"/>
            <w:sz w:val="20"/>
            <w:szCs w:val="20"/>
          </w:rPr>
          <w:t>dgnig@umelblag.pl</w:t>
        </w:r>
      </w:hyperlink>
      <w:r w:rsidRPr="4A295D1F">
        <w:rPr>
          <w:rFonts w:cs="Tahoma"/>
          <w:sz w:val="20"/>
          <w:szCs w:val="20"/>
        </w:rPr>
        <w:t>)</w:t>
      </w:r>
    </w:p>
    <w:p w14:paraId="672A6659" w14:textId="77777777" w:rsidR="00060965" w:rsidRDefault="00060965" w:rsidP="00507F82">
      <w:pPr>
        <w:tabs>
          <w:tab w:val="num" w:pos="540"/>
        </w:tabs>
        <w:autoSpaceDE w:val="0"/>
        <w:autoSpaceDN w:val="0"/>
        <w:adjustRightInd w:val="0"/>
        <w:spacing w:after="60" w:line="26" w:lineRule="atLeast"/>
        <w:ind w:left="38"/>
        <w:jc w:val="both"/>
        <w:rPr>
          <w:rFonts w:cs="Tahoma"/>
          <w:b/>
          <w:sz w:val="20"/>
          <w:szCs w:val="20"/>
        </w:rPr>
      </w:pPr>
    </w:p>
    <w:p w14:paraId="1D7F0020" w14:textId="522C7177" w:rsidR="00B124F2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 xml:space="preserve">Lokalizacja: </w:t>
      </w:r>
      <w:r w:rsidRPr="4A295D1F">
        <w:rPr>
          <w:rFonts w:cs="Tahoma"/>
          <w:sz w:val="20"/>
          <w:szCs w:val="20"/>
        </w:rPr>
        <w:t xml:space="preserve">Elbląg, </w:t>
      </w:r>
      <w:r w:rsidR="00CB5356">
        <w:rPr>
          <w:rFonts w:cs="Tahoma"/>
          <w:sz w:val="20"/>
          <w:szCs w:val="20"/>
        </w:rPr>
        <w:t>ul. Freta 57a</w:t>
      </w:r>
      <w:r w:rsidRPr="4A295D1F">
        <w:rPr>
          <w:rFonts w:cs="Tahoma"/>
          <w:sz w:val="20"/>
          <w:szCs w:val="20"/>
        </w:rPr>
        <w:t>.</w:t>
      </w:r>
    </w:p>
    <w:p w14:paraId="171D5659" w14:textId="7C1DA6B5" w:rsidR="001B199A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Opis nieruchomości:</w:t>
      </w:r>
      <w:r w:rsidRPr="4A295D1F">
        <w:rPr>
          <w:rFonts w:cs="Tahoma"/>
          <w:sz w:val="20"/>
          <w:szCs w:val="20"/>
        </w:rPr>
        <w:t xml:space="preserve"> </w:t>
      </w:r>
      <w:r w:rsidR="00CB5356" w:rsidRPr="00B82E58">
        <w:rPr>
          <w:rFonts w:cs="Tahoma"/>
          <w:sz w:val="20"/>
          <w:szCs w:val="20"/>
        </w:rPr>
        <w:t xml:space="preserve">nieruchomość </w:t>
      </w:r>
      <w:r w:rsidR="00CB5356">
        <w:rPr>
          <w:rFonts w:cs="Tahoma"/>
          <w:sz w:val="20"/>
          <w:szCs w:val="20"/>
        </w:rPr>
        <w:t xml:space="preserve">gruntowa niezabudowana, która z uwagi na cechy geometryczne </w:t>
      </w:r>
      <w:r w:rsidR="00CB5356" w:rsidRPr="00B82E58">
        <w:rPr>
          <w:rFonts w:cs="Tahoma"/>
          <w:sz w:val="20"/>
          <w:szCs w:val="20"/>
        </w:rPr>
        <w:t xml:space="preserve">przeznaczona </w:t>
      </w:r>
      <w:r w:rsidR="00CB5356">
        <w:rPr>
          <w:rFonts w:cs="Tahoma"/>
          <w:sz w:val="20"/>
          <w:szCs w:val="20"/>
        </w:rPr>
        <w:t xml:space="preserve">jest </w:t>
      </w:r>
      <w:r w:rsidR="00CB5356" w:rsidRPr="00B82E58">
        <w:rPr>
          <w:rFonts w:cs="Tahoma"/>
          <w:sz w:val="20"/>
          <w:szCs w:val="20"/>
        </w:rPr>
        <w:t>na poprawę warunków zagospodarowan</w:t>
      </w:r>
      <w:r w:rsidR="00CB5356">
        <w:rPr>
          <w:rFonts w:cs="Tahoma"/>
          <w:sz w:val="20"/>
          <w:szCs w:val="20"/>
        </w:rPr>
        <w:t>ia nieruchomości przyległej (działki nr 182/2 lub działki nr 183/4</w:t>
      </w:r>
      <w:r w:rsidR="00CB5356" w:rsidRPr="00B82E58">
        <w:rPr>
          <w:rFonts w:cs="Tahoma"/>
          <w:sz w:val="20"/>
          <w:szCs w:val="20"/>
        </w:rPr>
        <w:t>).</w:t>
      </w:r>
      <w:r w:rsidR="00CB5356">
        <w:rPr>
          <w:rFonts w:cs="Tahoma"/>
          <w:sz w:val="20"/>
          <w:szCs w:val="20"/>
        </w:rPr>
        <w:t xml:space="preserve"> Nieruchomość położona na terenie szczególnie zagrożonym powodzią</w:t>
      </w:r>
      <w:r w:rsidRPr="4A295D1F">
        <w:rPr>
          <w:rFonts w:cs="Tahoma"/>
          <w:sz w:val="20"/>
          <w:szCs w:val="20"/>
        </w:rPr>
        <w:t xml:space="preserve">. </w:t>
      </w:r>
    </w:p>
    <w:p w14:paraId="688D08B5" w14:textId="23B0F547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Oznaczenie nieruchomości wg danych z ewidencji gruntów i budynków:</w:t>
      </w:r>
      <w:r w:rsidRPr="4A295D1F">
        <w:rPr>
          <w:rFonts w:cs="Tahoma"/>
          <w:sz w:val="20"/>
          <w:szCs w:val="20"/>
        </w:rPr>
        <w:t xml:space="preserve"> obr.</w:t>
      </w:r>
      <w:r w:rsidR="00D465A5">
        <w:rPr>
          <w:rFonts w:cs="Tahoma"/>
          <w:b/>
          <w:bCs/>
          <w:sz w:val="20"/>
          <w:szCs w:val="20"/>
        </w:rPr>
        <w:t xml:space="preserve"> </w:t>
      </w:r>
      <w:r w:rsidR="005453CE">
        <w:rPr>
          <w:rFonts w:cs="Tahoma"/>
          <w:b/>
          <w:bCs/>
          <w:sz w:val="20"/>
          <w:szCs w:val="20"/>
        </w:rPr>
        <w:t>13</w:t>
      </w:r>
      <w:r w:rsidR="00813F6F">
        <w:rPr>
          <w:rFonts w:cs="Tahoma"/>
          <w:sz w:val="20"/>
          <w:szCs w:val="20"/>
        </w:rPr>
        <w:t>, działka</w:t>
      </w:r>
      <w:r w:rsidR="00813F6F">
        <w:rPr>
          <w:rFonts w:cs="Tahoma"/>
          <w:sz w:val="20"/>
          <w:szCs w:val="20"/>
        </w:rPr>
        <w:br/>
      </w:r>
      <w:r w:rsidRPr="00813F6F">
        <w:rPr>
          <w:rFonts w:cs="Tahoma"/>
          <w:b/>
          <w:sz w:val="20"/>
          <w:szCs w:val="20"/>
        </w:rPr>
        <w:t>nr</w:t>
      </w:r>
      <w:r w:rsidR="007F43BC">
        <w:rPr>
          <w:rFonts w:cs="Tahoma"/>
          <w:sz w:val="20"/>
          <w:szCs w:val="20"/>
        </w:rPr>
        <w:t xml:space="preserve"> </w:t>
      </w:r>
      <w:r w:rsidR="005453CE">
        <w:rPr>
          <w:rFonts w:cs="Tahoma"/>
          <w:b/>
          <w:sz w:val="20"/>
          <w:szCs w:val="20"/>
        </w:rPr>
        <w:t>181/1</w:t>
      </w:r>
      <w:r w:rsidRPr="4A295D1F">
        <w:rPr>
          <w:rFonts w:cs="Tahoma"/>
          <w:b/>
          <w:bCs/>
          <w:sz w:val="20"/>
          <w:szCs w:val="20"/>
        </w:rPr>
        <w:t xml:space="preserve"> </w:t>
      </w:r>
      <w:r w:rsidRPr="4A295D1F">
        <w:rPr>
          <w:rFonts w:cs="Tahoma"/>
          <w:sz w:val="20"/>
          <w:szCs w:val="20"/>
        </w:rPr>
        <w:t xml:space="preserve">o pow. </w:t>
      </w:r>
      <w:r w:rsidR="005453CE">
        <w:rPr>
          <w:rFonts w:cs="Tahoma"/>
          <w:b/>
          <w:bCs/>
          <w:sz w:val="20"/>
          <w:szCs w:val="20"/>
        </w:rPr>
        <w:t>0,0244</w:t>
      </w:r>
      <w:r w:rsidRPr="4A295D1F">
        <w:rPr>
          <w:rFonts w:cs="Tahoma"/>
          <w:b/>
          <w:bCs/>
          <w:sz w:val="20"/>
          <w:szCs w:val="20"/>
        </w:rPr>
        <w:t xml:space="preserve"> ha</w:t>
      </w:r>
      <w:r w:rsidR="002E7879">
        <w:rPr>
          <w:rFonts w:cs="Tahoma"/>
          <w:b/>
          <w:bCs/>
          <w:sz w:val="20"/>
          <w:szCs w:val="20"/>
        </w:rPr>
        <w:t>,</w:t>
      </w:r>
      <w:r w:rsidR="00D465A5">
        <w:rPr>
          <w:rFonts w:cs="Tahoma"/>
          <w:sz w:val="20"/>
          <w:szCs w:val="20"/>
        </w:rPr>
        <w:t xml:space="preserve"> dla której</w:t>
      </w:r>
      <w:r w:rsidRPr="4A295D1F">
        <w:rPr>
          <w:rFonts w:cs="Tahoma"/>
          <w:sz w:val="20"/>
          <w:szCs w:val="20"/>
        </w:rPr>
        <w:t xml:space="preserve"> Sąd Rejonowy w Elblągu prowadzi księgę wieczystą nr </w:t>
      </w:r>
      <w:r w:rsidR="005453CE">
        <w:rPr>
          <w:rFonts w:cs="Tahoma"/>
          <w:b/>
          <w:bCs/>
          <w:sz w:val="20"/>
          <w:szCs w:val="20"/>
        </w:rPr>
        <w:t>EL1E/00047848/0</w:t>
      </w:r>
      <w:r w:rsidRPr="4A295D1F">
        <w:rPr>
          <w:rFonts w:cs="Tahoma"/>
          <w:sz w:val="20"/>
          <w:szCs w:val="20"/>
        </w:rPr>
        <w:t>.</w:t>
      </w:r>
    </w:p>
    <w:p w14:paraId="670338B2" w14:textId="6FCAF25D" w:rsidR="001B199A" w:rsidRPr="002A7E7F" w:rsidRDefault="00060965" w:rsidP="002A7E7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cs="Tahoma"/>
          <w:sz w:val="20"/>
          <w:szCs w:val="20"/>
        </w:rPr>
      </w:pPr>
      <w:r w:rsidRPr="00A65561">
        <w:rPr>
          <w:rFonts w:cs="Tahoma"/>
          <w:b/>
          <w:sz w:val="20"/>
          <w:szCs w:val="20"/>
        </w:rPr>
        <w:t>Przeznaczenie nieru</w:t>
      </w:r>
      <w:r w:rsidR="00314F9D" w:rsidRPr="00A65561">
        <w:rPr>
          <w:rFonts w:cs="Tahoma"/>
          <w:b/>
          <w:sz w:val="20"/>
          <w:szCs w:val="20"/>
        </w:rPr>
        <w:t>chomości w miejscowym planie za</w:t>
      </w:r>
      <w:r w:rsidRPr="00A65561">
        <w:rPr>
          <w:rFonts w:cs="Tahoma"/>
          <w:b/>
          <w:sz w:val="20"/>
          <w:szCs w:val="20"/>
        </w:rPr>
        <w:t>gospodarowania przestrzennego:</w:t>
      </w:r>
      <w:r w:rsidR="001B199A" w:rsidRPr="00A65561">
        <w:rPr>
          <w:rFonts w:cs="Tahoma"/>
          <w:sz w:val="20"/>
          <w:szCs w:val="20"/>
        </w:rPr>
        <w:t xml:space="preserve"> </w:t>
      </w:r>
      <w:r w:rsidR="005453CE">
        <w:rPr>
          <w:sz w:val="20"/>
          <w:szCs w:val="20"/>
        </w:rPr>
        <w:t xml:space="preserve">dla obszaru, na którym znajduje się m.in. przedmiotowa nieruchomość aktualnie obowiązuje miejscowy plan zagospodarowania przestrzennego </w:t>
      </w:r>
      <w:r w:rsidR="005453CE" w:rsidRPr="00F86507">
        <w:rPr>
          <w:sz w:val="20"/>
          <w:szCs w:val="20"/>
        </w:rPr>
        <w:t>Strefy Aktywności w rejonie Nowej Trasy Mostowej i ulicy Radomskiej w Elblągu</w:t>
      </w:r>
      <w:r w:rsidR="005453CE">
        <w:rPr>
          <w:sz w:val="20"/>
          <w:szCs w:val="20"/>
        </w:rPr>
        <w:t>,</w:t>
      </w:r>
      <w:r w:rsidR="005453CE" w:rsidRPr="00F86507">
        <w:rPr>
          <w:sz w:val="20"/>
          <w:szCs w:val="20"/>
        </w:rPr>
        <w:t xml:space="preserve"> </w:t>
      </w:r>
      <w:r w:rsidR="005453CE">
        <w:rPr>
          <w:sz w:val="20"/>
          <w:szCs w:val="20"/>
        </w:rPr>
        <w:t>uchwalon</w:t>
      </w:r>
      <w:r w:rsidR="00C54A89">
        <w:rPr>
          <w:sz w:val="20"/>
          <w:szCs w:val="20"/>
        </w:rPr>
        <w:t>y</w:t>
      </w:r>
      <w:r w:rsidR="005453CE">
        <w:rPr>
          <w:sz w:val="20"/>
          <w:szCs w:val="20"/>
        </w:rPr>
        <w:t xml:space="preserve"> uchwałą Nr XXVIII/702/06 Rady Miejskiej</w:t>
      </w:r>
      <w:r w:rsidR="005453CE" w:rsidRPr="00F86507">
        <w:rPr>
          <w:sz w:val="20"/>
          <w:szCs w:val="20"/>
        </w:rPr>
        <w:t xml:space="preserve"> w El</w:t>
      </w:r>
      <w:r w:rsidR="005453CE">
        <w:rPr>
          <w:sz w:val="20"/>
          <w:szCs w:val="20"/>
        </w:rPr>
        <w:t>blągu z dnia 16 lutego 2006 r.</w:t>
      </w:r>
      <w:r w:rsidR="00C54A89">
        <w:rPr>
          <w:sz w:val="20"/>
          <w:szCs w:val="20"/>
        </w:rPr>
        <w:t>,</w:t>
      </w:r>
      <w:r w:rsidR="005453CE" w:rsidRPr="00F86507">
        <w:rPr>
          <w:sz w:val="20"/>
          <w:szCs w:val="20"/>
        </w:rPr>
        <w:t xml:space="preserve"> w </w:t>
      </w:r>
      <w:r w:rsidR="005453CE">
        <w:rPr>
          <w:sz w:val="20"/>
          <w:szCs w:val="20"/>
        </w:rPr>
        <w:t>obrębie jednostki bilansowej planu 47.U</w:t>
      </w:r>
      <w:r w:rsidR="00C54A89">
        <w:rPr>
          <w:sz w:val="20"/>
          <w:szCs w:val="20"/>
        </w:rPr>
        <w:t xml:space="preserve"> -</w:t>
      </w:r>
      <w:r w:rsidR="005453CE">
        <w:rPr>
          <w:sz w:val="20"/>
          <w:szCs w:val="20"/>
        </w:rPr>
        <w:t xml:space="preserve"> treny zabudowy usługowej.</w:t>
      </w:r>
      <w:r w:rsidR="005453CE" w:rsidRPr="00E67AA0">
        <w:rPr>
          <w:rFonts w:cs="Tahoma"/>
          <w:sz w:val="20"/>
          <w:szCs w:val="20"/>
        </w:rPr>
        <w:t xml:space="preserve"> </w:t>
      </w:r>
      <w:r w:rsidR="005453CE" w:rsidRPr="00AE696B">
        <w:rPr>
          <w:rFonts w:cs="Tahoma"/>
          <w:sz w:val="20"/>
          <w:szCs w:val="20"/>
        </w:rPr>
        <w:t>Ze</w:t>
      </w:r>
      <w:r w:rsidR="005453CE">
        <w:rPr>
          <w:rFonts w:cs="Tahoma"/>
          <w:sz w:val="20"/>
          <w:szCs w:val="20"/>
        </w:rPr>
        <w:t xml:space="preserve"> </w:t>
      </w:r>
      <w:r w:rsidR="005453CE" w:rsidRPr="00AE696B">
        <w:rPr>
          <w:rFonts w:cs="Tahoma"/>
          <w:sz w:val="20"/>
          <w:szCs w:val="20"/>
        </w:rPr>
        <w:t xml:space="preserve">szczegółowymi ustaleniami </w:t>
      </w:r>
      <w:r w:rsidR="005453CE">
        <w:rPr>
          <w:rFonts w:cs="Tahoma"/>
          <w:sz w:val="20"/>
          <w:szCs w:val="20"/>
        </w:rPr>
        <w:t>miejscowego</w:t>
      </w:r>
      <w:r w:rsidR="005453CE" w:rsidRPr="00AE696B">
        <w:rPr>
          <w:rFonts w:cs="Tahoma"/>
          <w:sz w:val="20"/>
          <w:szCs w:val="20"/>
        </w:rPr>
        <w:t xml:space="preserve"> plan</w:t>
      </w:r>
      <w:r w:rsidR="005453CE">
        <w:rPr>
          <w:rFonts w:cs="Tahoma"/>
          <w:sz w:val="20"/>
          <w:szCs w:val="20"/>
        </w:rPr>
        <w:t>u</w:t>
      </w:r>
      <w:r w:rsidR="005453CE" w:rsidRPr="00AE696B">
        <w:rPr>
          <w:rFonts w:cs="Tahoma"/>
          <w:sz w:val="20"/>
          <w:szCs w:val="20"/>
        </w:rPr>
        <w:t xml:space="preserve"> zagospodarowania terenu</w:t>
      </w:r>
      <w:r w:rsidR="005453CE">
        <w:rPr>
          <w:rFonts w:cs="Tahoma"/>
          <w:sz w:val="20"/>
          <w:szCs w:val="20"/>
        </w:rPr>
        <w:t xml:space="preserve"> oraz procedurą jego zmiany można zapoznać się pod adresami: </w:t>
      </w:r>
      <w:hyperlink r:id="rId11" w:history="1">
        <w:r w:rsidR="002A7E7F" w:rsidRPr="002A7E7F">
          <w:rPr>
            <w:rStyle w:val="Hipercze"/>
            <w:sz w:val="20"/>
            <w:szCs w:val="20"/>
          </w:rPr>
          <w:t>https://bip.elblag.eu/artykul/313/3528/042-mpzp-strefy-aktywnosci-w-rejonie-nowej-trasy-mostowej-i-ulicy-radomskiej</w:t>
        </w:r>
      </w:hyperlink>
      <w:r w:rsidR="002A7E7F">
        <w:rPr>
          <w:rFonts w:cs="Tahoma"/>
          <w:sz w:val="20"/>
          <w:szCs w:val="20"/>
        </w:rPr>
        <w:t>.</w:t>
      </w:r>
    </w:p>
    <w:p w14:paraId="5AB7F292" w14:textId="162D3B96" w:rsidR="0060544A" w:rsidRDefault="4A295D1F" w:rsidP="0060544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 xml:space="preserve">Uzbrojenie: </w:t>
      </w:r>
      <w:r w:rsidRPr="4A295D1F">
        <w:rPr>
          <w:rFonts w:cs="Tahoma"/>
          <w:sz w:val="20"/>
          <w:szCs w:val="20"/>
        </w:rPr>
        <w:t xml:space="preserve">nieruchomość położona jest na </w:t>
      </w:r>
      <w:r w:rsidR="00C54A89">
        <w:rPr>
          <w:rFonts w:cs="Tahoma"/>
          <w:sz w:val="20"/>
          <w:szCs w:val="20"/>
        </w:rPr>
        <w:t>obszarze</w:t>
      </w:r>
      <w:r w:rsidRPr="4A295D1F">
        <w:rPr>
          <w:rFonts w:cs="Tahoma"/>
          <w:sz w:val="20"/>
          <w:szCs w:val="20"/>
        </w:rPr>
        <w:t xml:space="preserve"> uzbrojony</w:t>
      </w:r>
      <w:r w:rsidR="00C54A89">
        <w:rPr>
          <w:rFonts w:cs="Tahoma"/>
          <w:sz w:val="20"/>
          <w:szCs w:val="20"/>
        </w:rPr>
        <w:t>m</w:t>
      </w:r>
      <w:r w:rsidRPr="4A295D1F">
        <w:rPr>
          <w:rFonts w:cs="Tahoma"/>
          <w:sz w:val="20"/>
          <w:szCs w:val="20"/>
        </w:rPr>
        <w:t xml:space="preserve"> w med</w:t>
      </w:r>
      <w:r w:rsidR="00D465A5">
        <w:rPr>
          <w:rFonts w:cs="Tahoma"/>
          <w:sz w:val="20"/>
          <w:szCs w:val="20"/>
        </w:rPr>
        <w:t>ia komunalne.</w:t>
      </w:r>
      <w:r w:rsidR="0060544A">
        <w:rPr>
          <w:rFonts w:cs="Tahoma"/>
          <w:sz w:val="20"/>
          <w:szCs w:val="20"/>
        </w:rPr>
        <w:t xml:space="preserve"> Przez działkę przebiega podziemna sieć energetyczna.</w:t>
      </w:r>
    </w:p>
    <w:p w14:paraId="3C001695" w14:textId="60924A4B" w:rsidR="007516EB" w:rsidRPr="00A65561" w:rsidRDefault="007F43BC" w:rsidP="0060544A">
      <w:pPr>
        <w:autoSpaceDE w:val="0"/>
        <w:autoSpaceDN w:val="0"/>
        <w:adjustRightInd w:val="0"/>
        <w:spacing w:line="276" w:lineRule="auto"/>
        <w:ind w:left="360"/>
        <w:jc w:val="both"/>
        <w:rPr>
          <w:rFonts w:cs="Tahoma"/>
          <w:sz w:val="20"/>
          <w:szCs w:val="20"/>
        </w:rPr>
      </w:pPr>
      <w:r w:rsidRPr="00B6089C">
        <w:rPr>
          <w:sz w:val="20"/>
          <w:szCs w:val="20"/>
        </w:rPr>
        <w:t>Informacje dotyczące istniejących sieci uzbrojenia</w:t>
      </w:r>
      <w:r>
        <w:rPr>
          <w:sz w:val="20"/>
          <w:szCs w:val="20"/>
        </w:rPr>
        <w:t>,</w:t>
      </w:r>
      <w:r w:rsidRPr="00B6089C">
        <w:rPr>
          <w:sz w:val="20"/>
          <w:szCs w:val="20"/>
        </w:rPr>
        <w:t xml:space="preserve"> dostępne są w Departamenci</w:t>
      </w:r>
      <w:r>
        <w:rPr>
          <w:sz w:val="20"/>
          <w:szCs w:val="20"/>
        </w:rPr>
        <w:t>e Gospodarki Nieruchomościami i </w:t>
      </w:r>
      <w:r w:rsidRPr="00B6089C">
        <w:rPr>
          <w:sz w:val="20"/>
          <w:szCs w:val="20"/>
        </w:rPr>
        <w:t>Geodezji Urzędu Miejskiego w</w:t>
      </w:r>
      <w:r>
        <w:rPr>
          <w:sz w:val="20"/>
          <w:szCs w:val="20"/>
        </w:rPr>
        <w:t> </w:t>
      </w:r>
      <w:r w:rsidRPr="00B6089C">
        <w:rPr>
          <w:sz w:val="20"/>
          <w:szCs w:val="20"/>
        </w:rPr>
        <w:t>Elblągu (</w:t>
      </w:r>
      <w:r>
        <w:rPr>
          <w:sz w:val="20"/>
          <w:szCs w:val="20"/>
        </w:rPr>
        <w:t>Miejski Ośrodek Dokumentacji Geodezyjnej i Kartograficznej, Al. Tysiącle</w:t>
      </w:r>
      <w:r w:rsidR="007D0EBB">
        <w:rPr>
          <w:sz w:val="20"/>
          <w:szCs w:val="20"/>
        </w:rPr>
        <w:t>cia 11A, pok. 12, tel. 55 237-47</w:t>
      </w:r>
      <w:r>
        <w:rPr>
          <w:sz w:val="20"/>
          <w:szCs w:val="20"/>
        </w:rPr>
        <w:t>-11 do 55 237-4</w:t>
      </w:r>
      <w:r w:rsidR="007D0EBB">
        <w:rPr>
          <w:sz w:val="20"/>
          <w:szCs w:val="20"/>
        </w:rPr>
        <w:t>7</w:t>
      </w:r>
      <w:r>
        <w:rPr>
          <w:sz w:val="20"/>
          <w:szCs w:val="20"/>
        </w:rPr>
        <w:t>-14</w:t>
      </w:r>
      <w:r w:rsidRPr="00B6089C">
        <w:rPr>
          <w:sz w:val="20"/>
          <w:szCs w:val="20"/>
        </w:rPr>
        <w:t>)</w:t>
      </w:r>
      <w:r w:rsidR="4A295D1F" w:rsidRPr="4A295D1F">
        <w:rPr>
          <w:rFonts w:cs="Tahoma"/>
          <w:sz w:val="20"/>
          <w:szCs w:val="20"/>
        </w:rPr>
        <w:t>.</w:t>
      </w:r>
    </w:p>
    <w:p w14:paraId="00E7E125" w14:textId="60FBB57B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 xml:space="preserve">Cena </w:t>
      </w:r>
      <w:r w:rsidR="007F43BC">
        <w:rPr>
          <w:rFonts w:cs="Tahoma"/>
          <w:b/>
          <w:bCs/>
          <w:sz w:val="20"/>
          <w:szCs w:val="20"/>
        </w:rPr>
        <w:t>wy</w:t>
      </w:r>
      <w:r w:rsidR="0060544A">
        <w:rPr>
          <w:rFonts w:cs="Tahoma"/>
          <w:b/>
          <w:bCs/>
          <w:sz w:val="20"/>
          <w:szCs w:val="20"/>
        </w:rPr>
        <w:t xml:space="preserve">woławcza nieruchomości: </w:t>
      </w:r>
      <w:r w:rsidR="002A7E7F">
        <w:rPr>
          <w:rFonts w:cs="Tahoma"/>
          <w:b/>
          <w:bCs/>
          <w:sz w:val="20"/>
          <w:szCs w:val="20"/>
        </w:rPr>
        <w:t>29.000</w:t>
      </w:r>
      <w:r w:rsidRPr="4A295D1F">
        <w:rPr>
          <w:rFonts w:cs="Tahoma"/>
          <w:b/>
          <w:bCs/>
          <w:sz w:val="20"/>
          <w:szCs w:val="20"/>
        </w:rPr>
        <w:t xml:space="preserve"> zł</w:t>
      </w:r>
      <w:r w:rsidRPr="4A295D1F">
        <w:rPr>
          <w:rFonts w:cs="Tahoma"/>
          <w:sz w:val="20"/>
          <w:szCs w:val="20"/>
        </w:rPr>
        <w:t xml:space="preserve"> </w:t>
      </w:r>
      <w:r w:rsidR="007F43BC">
        <w:rPr>
          <w:rFonts w:cs="Tahoma"/>
          <w:b/>
          <w:bCs/>
          <w:sz w:val="20"/>
          <w:szCs w:val="20"/>
        </w:rPr>
        <w:t xml:space="preserve">(słownie </w:t>
      </w:r>
      <w:r w:rsidR="003B6C23">
        <w:rPr>
          <w:rFonts w:cs="Tahoma"/>
          <w:b/>
          <w:bCs/>
          <w:sz w:val="20"/>
          <w:szCs w:val="20"/>
        </w:rPr>
        <w:t xml:space="preserve">złotych: </w:t>
      </w:r>
      <w:r w:rsidR="002A7E7F">
        <w:rPr>
          <w:rFonts w:cs="Tahoma"/>
          <w:b/>
          <w:bCs/>
          <w:sz w:val="20"/>
          <w:szCs w:val="20"/>
        </w:rPr>
        <w:t>dwadzieścia dziewięć tysięcy</w:t>
      </w:r>
      <w:r w:rsidRPr="4A295D1F">
        <w:rPr>
          <w:rFonts w:cs="Tahoma"/>
          <w:b/>
          <w:bCs/>
          <w:sz w:val="20"/>
          <w:szCs w:val="20"/>
        </w:rPr>
        <w:t>)</w:t>
      </w:r>
      <w:r w:rsidR="002E7879">
        <w:rPr>
          <w:rFonts w:cs="Tahoma"/>
          <w:b/>
          <w:bCs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plus podatek od towarów i usług (VAT), zgodnie z obowiązującymi przepisami. Wylicytowaną cenę sprzedaży nieruchomości wraz z należnym VAT</w:t>
      </w:r>
      <w:r w:rsidR="002E7879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należy wpłacić przed zawarciem umowy sprzedaży</w:t>
      </w:r>
      <w:r w:rsidR="00FC0F21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na konto Urzędu Miejskiego w Elblągu, które wskazane zostanie w protokole z przetargu.</w:t>
      </w:r>
    </w:p>
    <w:p w14:paraId="6BE4FF77" w14:textId="337C3A09" w:rsidR="00060965" w:rsidRPr="00063178" w:rsidRDefault="4A295D1F" w:rsidP="00950776">
      <w:pPr>
        <w:numPr>
          <w:ilvl w:val="0"/>
          <w:numId w:val="1"/>
        </w:numPr>
        <w:tabs>
          <w:tab w:val="num" w:pos="644"/>
        </w:tabs>
        <w:autoSpaceDE w:val="0"/>
        <w:autoSpaceDN w:val="0"/>
        <w:adjustRightInd w:val="0"/>
        <w:spacing w:line="276" w:lineRule="auto"/>
        <w:ind w:hanging="322"/>
        <w:jc w:val="both"/>
        <w:rPr>
          <w:rFonts w:eastAsia="Tahoma"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Warunki udziału w przetargu:</w:t>
      </w:r>
      <w:r w:rsidRPr="4A295D1F">
        <w:rPr>
          <w:rFonts w:cs="Tahoma"/>
          <w:sz w:val="20"/>
          <w:szCs w:val="20"/>
        </w:rPr>
        <w:t xml:space="preserve"> w przetargu mogą uczestniczyć osoby, które</w:t>
      </w:r>
      <w:r w:rsidR="003B6C23">
        <w:rPr>
          <w:sz w:val="20"/>
          <w:szCs w:val="20"/>
        </w:rPr>
        <w:t xml:space="preserve"> są właścicielami</w:t>
      </w:r>
      <w:r w:rsidR="00D465A5">
        <w:rPr>
          <w:sz w:val="20"/>
          <w:szCs w:val="20"/>
        </w:rPr>
        <w:t xml:space="preserve"> </w:t>
      </w:r>
      <w:r w:rsidRPr="4A295D1F">
        <w:rPr>
          <w:sz w:val="20"/>
          <w:szCs w:val="20"/>
        </w:rPr>
        <w:t>nierucho</w:t>
      </w:r>
      <w:r w:rsidRPr="4A295D1F">
        <w:rPr>
          <w:rFonts w:eastAsia="Tahoma" w:cs="Tahoma"/>
          <w:sz w:val="20"/>
          <w:szCs w:val="20"/>
        </w:rPr>
        <w:t>mości bezpośrednio przylegających do nieruchomości</w:t>
      </w:r>
      <w:r w:rsidR="002E7879">
        <w:rPr>
          <w:rFonts w:eastAsia="Tahoma" w:cs="Tahoma"/>
          <w:sz w:val="20"/>
          <w:szCs w:val="20"/>
        </w:rPr>
        <w:t>,</w:t>
      </w:r>
      <w:r w:rsidRPr="4A295D1F">
        <w:rPr>
          <w:rFonts w:eastAsia="Tahoma" w:cs="Tahoma"/>
          <w:sz w:val="20"/>
          <w:szCs w:val="20"/>
        </w:rPr>
        <w:t xml:space="preserve"> stanowiącej przedmiot niniejszego przetargu,</w:t>
      </w:r>
      <w:r w:rsidRPr="4A295D1F">
        <w:rPr>
          <w:sz w:val="20"/>
          <w:szCs w:val="20"/>
        </w:rPr>
        <w:t xml:space="preserve"> tj. </w:t>
      </w:r>
      <w:r w:rsidR="003B6C23">
        <w:rPr>
          <w:sz w:val="20"/>
          <w:szCs w:val="20"/>
        </w:rPr>
        <w:t>działek nr 182/2 i nr 183/4</w:t>
      </w:r>
      <w:r w:rsidRPr="4A295D1F">
        <w:rPr>
          <w:rFonts w:eastAsia="Tahoma" w:cs="Tahoma"/>
          <w:sz w:val="20"/>
          <w:szCs w:val="20"/>
        </w:rPr>
        <w:t xml:space="preserve"> </w:t>
      </w:r>
      <w:r w:rsidRPr="4A295D1F">
        <w:rPr>
          <w:sz w:val="20"/>
          <w:szCs w:val="20"/>
        </w:rPr>
        <w:t xml:space="preserve">oraz do dnia </w:t>
      </w:r>
      <w:r w:rsidR="00704B5D">
        <w:rPr>
          <w:b/>
          <w:bCs/>
          <w:sz w:val="20"/>
          <w:szCs w:val="20"/>
        </w:rPr>
        <w:t>1</w:t>
      </w:r>
      <w:r w:rsidR="002A7E7F">
        <w:rPr>
          <w:b/>
          <w:bCs/>
          <w:sz w:val="20"/>
          <w:szCs w:val="20"/>
        </w:rPr>
        <w:t>1 września</w:t>
      </w:r>
      <w:r w:rsidR="003B6C23">
        <w:rPr>
          <w:b/>
          <w:bCs/>
          <w:sz w:val="20"/>
          <w:szCs w:val="20"/>
        </w:rPr>
        <w:t xml:space="preserve"> 202</w:t>
      </w:r>
      <w:r w:rsidR="009E3752">
        <w:rPr>
          <w:b/>
          <w:bCs/>
          <w:sz w:val="20"/>
          <w:szCs w:val="20"/>
        </w:rPr>
        <w:t>4</w:t>
      </w:r>
      <w:r w:rsidR="002E7879">
        <w:rPr>
          <w:b/>
          <w:bCs/>
          <w:sz w:val="20"/>
          <w:szCs w:val="20"/>
        </w:rPr>
        <w:t xml:space="preserve"> r.</w:t>
      </w:r>
      <w:r w:rsidR="00FC0F21" w:rsidRPr="00063178">
        <w:rPr>
          <w:b/>
          <w:bCs/>
          <w:sz w:val="20"/>
          <w:szCs w:val="20"/>
        </w:rPr>
        <w:t xml:space="preserve"> </w:t>
      </w:r>
      <w:r w:rsidRPr="00063178">
        <w:rPr>
          <w:b/>
          <w:bCs/>
          <w:sz w:val="20"/>
          <w:szCs w:val="20"/>
        </w:rPr>
        <w:t>do godz. 15</w:t>
      </w:r>
      <w:r w:rsidRPr="00063178">
        <w:rPr>
          <w:b/>
          <w:bCs/>
          <w:sz w:val="20"/>
          <w:szCs w:val="20"/>
          <w:u w:val="single"/>
          <w:vertAlign w:val="superscript"/>
        </w:rPr>
        <w:t>00</w:t>
      </w:r>
      <w:r w:rsidR="00FC0F21">
        <w:rPr>
          <w:rFonts w:eastAsia="Tahoma" w:cs="Tahoma"/>
          <w:sz w:val="20"/>
          <w:szCs w:val="20"/>
        </w:rPr>
        <w:t xml:space="preserve">, </w:t>
      </w:r>
      <w:r w:rsidRPr="00063178">
        <w:rPr>
          <w:sz w:val="20"/>
          <w:szCs w:val="20"/>
        </w:rPr>
        <w:t>złożą pisemne zgłoszenie udziału w przetargu</w:t>
      </w:r>
      <w:r w:rsidR="005C1010" w:rsidRPr="00063178">
        <w:rPr>
          <w:sz w:val="20"/>
          <w:szCs w:val="20"/>
        </w:rPr>
        <w:t>,</w:t>
      </w:r>
      <w:r w:rsidRPr="00063178">
        <w:rPr>
          <w:sz w:val="20"/>
          <w:szCs w:val="20"/>
        </w:rPr>
        <w:t xml:space="preserve"> zawierające:</w:t>
      </w:r>
    </w:p>
    <w:p w14:paraId="12F20DAD" w14:textId="77777777" w:rsidR="005779A0" w:rsidRPr="00A65561" w:rsidRDefault="005779A0" w:rsidP="0095077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cs="Tahoma"/>
          <w:sz w:val="20"/>
          <w:szCs w:val="20"/>
        </w:rPr>
      </w:pPr>
      <w:r w:rsidRPr="00A65561">
        <w:rPr>
          <w:rFonts w:cs="Tahoma"/>
          <w:sz w:val="20"/>
          <w:szCs w:val="20"/>
        </w:rPr>
        <w:t>imię, nazwisko i adres albo nazwę lub firmę oraz siedzibę, jeżeli zgłaszającym jest osoba prawna lub inny podmiot,</w:t>
      </w:r>
    </w:p>
    <w:p w14:paraId="062BB9CC" w14:textId="62B7795D" w:rsidR="00060965" w:rsidRPr="00A65561" w:rsidRDefault="00723153" w:rsidP="0095077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5561">
        <w:rPr>
          <w:sz w:val="20"/>
          <w:szCs w:val="20"/>
        </w:rPr>
        <w:t>o</w:t>
      </w:r>
      <w:r w:rsidR="000F63F5" w:rsidRPr="00A65561">
        <w:rPr>
          <w:sz w:val="20"/>
          <w:szCs w:val="20"/>
        </w:rPr>
        <w:t xml:space="preserve">świadczenie, że </w:t>
      </w:r>
      <w:r w:rsidR="00060965" w:rsidRPr="00A65561">
        <w:rPr>
          <w:sz w:val="20"/>
          <w:szCs w:val="20"/>
        </w:rPr>
        <w:t xml:space="preserve">są właścicielami </w:t>
      </w:r>
      <w:r w:rsidR="00FC0F21">
        <w:rPr>
          <w:sz w:val="20"/>
          <w:szCs w:val="20"/>
        </w:rPr>
        <w:t>lub współwłaścicielami</w:t>
      </w:r>
      <w:r w:rsidR="00161260" w:rsidRPr="00A65561">
        <w:rPr>
          <w:sz w:val="20"/>
          <w:szCs w:val="20"/>
        </w:rPr>
        <w:t xml:space="preserve"> </w:t>
      </w:r>
      <w:r w:rsidR="00060965" w:rsidRPr="00A65561">
        <w:rPr>
          <w:sz w:val="20"/>
          <w:szCs w:val="20"/>
        </w:rPr>
        <w:t>nieruchomości</w:t>
      </w:r>
      <w:r w:rsidR="00FC0F21">
        <w:rPr>
          <w:sz w:val="20"/>
          <w:szCs w:val="20"/>
        </w:rPr>
        <w:t>,</w:t>
      </w:r>
      <w:r w:rsidR="00060965" w:rsidRPr="00A65561">
        <w:rPr>
          <w:sz w:val="20"/>
          <w:szCs w:val="20"/>
        </w:rPr>
        <w:t xml:space="preserve"> bezpośrednio przylegając</w:t>
      </w:r>
      <w:r w:rsidR="00A769DD" w:rsidRPr="00A65561">
        <w:rPr>
          <w:sz w:val="20"/>
          <w:szCs w:val="20"/>
        </w:rPr>
        <w:t>ej</w:t>
      </w:r>
      <w:r w:rsidR="00060965" w:rsidRPr="00A65561">
        <w:rPr>
          <w:sz w:val="20"/>
          <w:szCs w:val="20"/>
        </w:rPr>
        <w:t xml:space="preserve"> do nieruchomości stanowiącej przedmiot niniejszego przetargu,</w:t>
      </w:r>
    </w:p>
    <w:p w14:paraId="590A01EE" w14:textId="77777777" w:rsidR="000F63F5" w:rsidRPr="00A65561" w:rsidRDefault="000F63F5" w:rsidP="0095077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5561">
        <w:rPr>
          <w:sz w:val="20"/>
          <w:szCs w:val="20"/>
        </w:rPr>
        <w:t>datę sporządzenia zgłoszenia,</w:t>
      </w:r>
    </w:p>
    <w:p w14:paraId="4296BFB5" w14:textId="77777777" w:rsidR="00060965" w:rsidRPr="00A65561" w:rsidRDefault="000F63F5" w:rsidP="0095077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5561">
        <w:rPr>
          <w:rFonts w:cs="Tahoma"/>
          <w:sz w:val="20"/>
          <w:szCs w:val="20"/>
        </w:rPr>
        <w:t xml:space="preserve">dowód </w:t>
      </w:r>
      <w:r w:rsidR="00060965" w:rsidRPr="00A65561">
        <w:rPr>
          <w:rFonts w:cs="Tahoma"/>
          <w:sz w:val="20"/>
          <w:szCs w:val="20"/>
        </w:rPr>
        <w:t>wpła</w:t>
      </w:r>
      <w:r w:rsidRPr="00A65561">
        <w:rPr>
          <w:rFonts w:cs="Tahoma"/>
          <w:sz w:val="20"/>
          <w:szCs w:val="20"/>
        </w:rPr>
        <w:t>ty</w:t>
      </w:r>
      <w:r w:rsidR="00060965" w:rsidRPr="00A65561">
        <w:rPr>
          <w:rFonts w:cs="Tahoma"/>
          <w:sz w:val="20"/>
          <w:szCs w:val="20"/>
        </w:rPr>
        <w:t xml:space="preserve"> wymagane</w:t>
      </w:r>
      <w:r w:rsidRPr="00A65561">
        <w:rPr>
          <w:rFonts w:cs="Tahoma"/>
          <w:sz w:val="20"/>
          <w:szCs w:val="20"/>
        </w:rPr>
        <w:t>go</w:t>
      </w:r>
      <w:r w:rsidR="00060965" w:rsidRPr="00A65561">
        <w:rPr>
          <w:rFonts w:cs="Tahoma"/>
          <w:sz w:val="20"/>
          <w:szCs w:val="20"/>
        </w:rPr>
        <w:t xml:space="preserve"> wadium w wysokości podanej poniżej,</w:t>
      </w:r>
    </w:p>
    <w:p w14:paraId="42DBCBAF" w14:textId="77777777" w:rsidR="00913CBA" w:rsidRPr="00A65561" w:rsidRDefault="00A65561" w:rsidP="0095077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5561">
        <w:rPr>
          <w:rFonts w:cs="Tahoma"/>
          <w:sz w:val="20"/>
          <w:szCs w:val="20"/>
        </w:rPr>
        <w:t>oświadczenie, że</w:t>
      </w:r>
      <w:r w:rsidR="00060965" w:rsidRPr="00A65561">
        <w:rPr>
          <w:rFonts w:cs="Tahoma"/>
          <w:sz w:val="20"/>
          <w:szCs w:val="20"/>
        </w:rPr>
        <w:t xml:space="preserve"> znany im jest stan prawny i stan</w:t>
      </w:r>
      <w:r w:rsidR="00913CBA" w:rsidRPr="00A65561">
        <w:rPr>
          <w:rFonts w:cs="Tahoma"/>
          <w:sz w:val="20"/>
          <w:szCs w:val="20"/>
        </w:rPr>
        <w:t xml:space="preserve"> zagospodarowania nieruchomości.</w:t>
      </w:r>
    </w:p>
    <w:p w14:paraId="4828DF6F" w14:textId="77777777" w:rsidR="00AF4595" w:rsidRPr="00A65561" w:rsidRDefault="00913CBA" w:rsidP="0095077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5561">
        <w:rPr>
          <w:rFonts w:cs="Tahoma"/>
          <w:sz w:val="20"/>
          <w:szCs w:val="20"/>
        </w:rPr>
        <w:t>oświadczenie o zapoznaniu się z warunkami i przedmiotem przetargu oraz o przyjęciu ich bez zastrzeżeń</w:t>
      </w:r>
    </w:p>
    <w:p w14:paraId="7ED027C4" w14:textId="77777777" w:rsidR="00AF4595" w:rsidRPr="00A65561" w:rsidRDefault="00AF4595" w:rsidP="00950776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A65561">
        <w:rPr>
          <w:rFonts w:cs="Tahoma"/>
          <w:sz w:val="20"/>
          <w:szCs w:val="20"/>
        </w:rPr>
        <w:t>oświadczenie o sposobie uczestnictwa w przetargu i sposobie nabycia wylicytowanej nieruchomości</w:t>
      </w:r>
    </w:p>
    <w:p w14:paraId="6D5FD112" w14:textId="77777777" w:rsidR="00060965" w:rsidRPr="00A65561" w:rsidRDefault="00AF4595" w:rsidP="00950776">
      <w:pPr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ind w:left="924" w:hanging="357"/>
        <w:jc w:val="both"/>
        <w:rPr>
          <w:sz w:val="20"/>
          <w:szCs w:val="20"/>
        </w:rPr>
      </w:pPr>
      <w:r w:rsidRPr="00A65561">
        <w:rPr>
          <w:rFonts w:cs="Tahoma"/>
          <w:sz w:val="20"/>
          <w:szCs w:val="20"/>
        </w:rPr>
        <w:t>oświadczenie o wyrażeniu zgody na przetwarzanie danych osobowych</w:t>
      </w:r>
      <w:r w:rsidR="00060965" w:rsidRPr="00A65561">
        <w:rPr>
          <w:sz w:val="20"/>
          <w:szCs w:val="20"/>
        </w:rPr>
        <w:t>.</w:t>
      </w:r>
    </w:p>
    <w:p w14:paraId="0306FA3C" w14:textId="52583895" w:rsidR="00D67B17" w:rsidRPr="00950776" w:rsidRDefault="4A295D1F" w:rsidP="4A295D1F">
      <w:pPr>
        <w:spacing w:line="276" w:lineRule="auto"/>
        <w:ind w:left="568"/>
        <w:jc w:val="both"/>
        <w:rPr>
          <w:sz w:val="20"/>
          <w:szCs w:val="20"/>
        </w:rPr>
      </w:pPr>
      <w:r w:rsidRPr="00950776">
        <w:rPr>
          <w:sz w:val="20"/>
          <w:szCs w:val="20"/>
          <w:u w:val="single"/>
        </w:rPr>
        <w:t xml:space="preserve">Ww. zgłoszenie należy złożyć w sekretariacie Departamentu Gospodarki Nieruchomościami i Geodezji Urzędu Miejskiego w Elblągu, </w:t>
      </w:r>
      <w:r w:rsidRPr="00950776">
        <w:rPr>
          <w:rFonts w:eastAsia="Tahoma" w:cs="Tahoma"/>
          <w:sz w:val="20"/>
          <w:szCs w:val="20"/>
          <w:u w:val="single"/>
        </w:rPr>
        <w:t>ul. Łączności 1, pok. 131</w:t>
      </w:r>
      <w:r w:rsidR="003B6C23">
        <w:rPr>
          <w:rFonts w:eastAsia="Tahoma" w:cs="Tahoma"/>
          <w:sz w:val="20"/>
          <w:szCs w:val="20"/>
        </w:rPr>
        <w:t>.</w:t>
      </w:r>
    </w:p>
    <w:p w14:paraId="203F4840" w14:textId="7A179A3D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Termin i miejsce przeprowadzenia przetargu:</w:t>
      </w:r>
      <w:r w:rsidRPr="4A295D1F">
        <w:rPr>
          <w:rFonts w:cs="Tahoma"/>
          <w:sz w:val="20"/>
          <w:szCs w:val="20"/>
        </w:rPr>
        <w:t xml:space="preserve"> przetarg odbędzie się w dniu </w:t>
      </w:r>
      <w:r w:rsidR="002A7E7F">
        <w:rPr>
          <w:rFonts w:cs="Tahoma"/>
          <w:b/>
          <w:bCs/>
          <w:sz w:val="20"/>
          <w:szCs w:val="20"/>
        </w:rPr>
        <w:t>16 września</w:t>
      </w:r>
      <w:r w:rsidR="003B6C23">
        <w:rPr>
          <w:rFonts w:cs="Tahoma"/>
          <w:b/>
          <w:bCs/>
          <w:sz w:val="20"/>
          <w:szCs w:val="20"/>
        </w:rPr>
        <w:t xml:space="preserve"> 202</w:t>
      </w:r>
      <w:r w:rsidR="009E3752">
        <w:rPr>
          <w:rFonts w:cs="Tahoma"/>
          <w:b/>
          <w:bCs/>
          <w:sz w:val="20"/>
          <w:szCs w:val="20"/>
        </w:rPr>
        <w:t>4</w:t>
      </w:r>
      <w:r w:rsidRPr="4A295D1F">
        <w:rPr>
          <w:rFonts w:cs="Tahoma"/>
          <w:b/>
          <w:bCs/>
          <w:sz w:val="20"/>
          <w:szCs w:val="20"/>
        </w:rPr>
        <w:t xml:space="preserve"> r.,</w:t>
      </w:r>
      <w:r w:rsidRPr="4A295D1F">
        <w:rPr>
          <w:rFonts w:cs="Tahoma"/>
          <w:sz w:val="20"/>
          <w:szCs w:val="20"/>
        </w:rPr>
        <w:t xml:space="preserve"> o godz. </w:t>
      </w:r>
      <w:r w:rsidRPr="4A295D1F">
        <w:rPr>
          <w:rFonts w:cs="Tahoma"/>
          <w:b/>
          <w:bCs/>
          <w:sz w:val="20"/>
          <w:szCs w:val="20"/>
        </w:rPr>
        <w:t>1</w:t>
      </w:r>
      <w:r w:rsidR="002A7E7F">
        <w:rPr>
          <w:rFonts w:cs="Tahoma"/>
          <w:b/>
          <w:bCs/>
          <w:sz w:val="20"/>
          <w:szCs w:val="20"/>
        </w:rPr>
        <w:t>1</w:t>
      </w:r>
      <w:r w:rsidRPr="4A295D1F">
        <w:rPr>
          <w:rFonts w:cs="Tahoma"/>
          <w:b/>
          <w:bCs/>
          <w:sz w:val="20"/>
          <w:szCs w:val="20"/>
          <w:u w:val="single"/>
          <w:vertAlign w:val="superscript"/>
        </w:rPr>
        <w:t>00</w:t>
      </w:r>
      <w:r w:rsidRPr="4A295D1F">
        <w:rPr>
          <w:rFonts w:cs="Tahoma"/>
          <w:sz w:val="20"/>
          <w:szCs w:val="20"/>
        </w:rPr>
        <w:t xml:space="preserve">, </w:t>
      </w:r>
      <w:r w:rsidR="003B6C23" w:rsidRPr="003A7B5B">
        <w:rPr>
          <w:sz w:val="19"/>
          <w:szCs w:val="19"/>
        </w:rPr>
        <w:t xml:space="preserve">w sali nr </w:t>
      </w:r>
      <w:r w:rsidR="003B6C23" w:rsidRPr="003A7B5B">
        <w:rPr>
          <w:b/>
          <w:sz w:val="19"/>
          <w:szCs w:val="19"/>
        </w:rPr>
        <w:t>300A</w:t>
      </w:r>
      <w:r w:rsidR="003B6C23" w:rsidRPr="003A7B5B">
        <w:rPr>
          <w:sz w:val="19"/>
          <w:szCs w:val="19"/>
        </w:rPr>
        <w:t xml:space="preserve"> Urzędu Miejskiego w Elblągu przy ul. Łączności 1</w:t>
      </w:r>
      <w:r w:rsidRPr="4A295D1F">
        <w:rPr>
          <w:rFonts w:cs="Tahoma"/>
          <w:sz w:val="20"/>
          <w:szCs w:val="20"/>
        </w:rPr>
        <w:t>.</w:t>
      </w:r>
    </w:p>
    <w:p w14:paraId="0630C495" w14:textId="7BDF364D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lastRenderedPageBreak/>
        <w:t>Termin, miejsce wpłaty oraz wysokość wadium:</w:t>
      </w:r>
      <w:r w:rsidR="008A53B0">
        <w:rPr>
          <w:rFonts w:cs="Tahoma"/>
          <w:sz w:val="20"/>
          <w:szCs w:val="20"/>
        </w:rPr>
        <w:t xml:space="preserve"> wadium</w:t>
      </w:r>
      <w:r w:rsidRPr="4A295D1F">
        <w:rPr>
          <w:rFonts w:cs="Tahoma"/>
          <w:sz w:val="20"/>
          <w:szCs w:val="20"/>
        </w:rPr>
        <w:t xml:space="preserve"> w wysokości </w:t>
      </w:r>
      <w:r w:rsidR="002A7E7F">
        <w:rPr>
          <w:rFonts w:cs="Tahoma"/>
          <w:b/>
          <w:bCs/>
          <w:sz w:val="20"/>
          <w:szCs w:val="20"/>
        </w:rPr>
        <w:t>5</w:t>
      </w:r>
      <w:r w:rsidR="00EC34F9">
        <w:rPr>
          <w:rFonts w:cs="Tahoma"/>
          <w:b/>
          <w:bCs/>
          <w:sz w:val="20"/>
          <w:szCs w:val="20"/>
        </w:rPr>
        <w:t>.000</w:t>
      </w:r>
      <w:r w:rsidRPr="4A295D1F">
        <w:rPr>
          <w:rFonts w:cs="Tahoma"/>
          <w:b/>
          <w:bCs/>
          <w:sz w:val="20"/>
          <w:szCs w:val="20"/>
        </w:rPr>
        <w:t xml:space="preserve"> zł</w:t>
      </w:r>
      <w:r w:rsidRPr="4A295D1F">
        <w:rPr>
          <w:rFonts w:cs="Tahoma"/>
          <w:sz w:val="20"/>
          <w:szCs w:val="20"/>
        </w:rPr>
        <w:t xml:space="preserve"> </w:t>
      </w:r>
      <w:r w:rsidRPr="4A295D1F">
        <w:rPr>
          <w:rFonts w:cs="Tahoma"/>
          <w:b/>
          <w:bCs/>
          <w:sz w:val="20"/>
          <w:szCs w:val="20"/>
        </w:rPr>
        <w:t>(słown</w:t>
      </w:r>
      <w:r w:rsidR="00C06091">
        <w:rPr>
          <w:rFonts w:cs="Tahoma"/>
          <w:b/>
          <w:bCs/>
          <w:sz w:val="20"/>
          <w:szCs w:val="20"/>
        </w:rPr>
        <w:t>ie z</w:t>
      </w:r>
      <w:r w:rsidR="00EC34F9">
        <w:rPr>
          <w:rFonts w:cs="Tahoma"/>
          <w:b/>
          <w:bCs/>
          <w:sz w:val="20"/>
          <w:szCs w:val="20"/>
        </w:rPr>
        <w:t xml:space="preserve">łotych: </w:t>
      </w:r>
      <w:r w:rsidR="002A7E7F">
        <w:rPr>
          <w:rFonts w:cs="Tahoma"/>
          <w:b/>
          <w:bCs/>
          <w:sz w:val="20"/>
          <w:szCs w:val="20"/>
        </w:rPr>
        <w:t>pięć</w:t>
      </w:r>
      <w:r w:rsidR="00EC34F9">
        <w:rPr>
          <w:rFonts w:cs="Tahoma"/>
          <w:b/>
          <w:bCs/>
          <w:sz w:val="20"/>
          <w:szCs w:val="20"/>
        </w:rPr>
        <w:t xml:space="preserve"> tysięcy</w:t>
      </w:r>
      <w:r w:rsidRPr="4A295D1F">
        <w:rPr>
          <w:rFonts w:cs="Tahoma"/>
          <w:b/>
          <w:bCs/>
          <w:sz w:val="20"/>
          <w:szCs w:val="20"/>
        </w:rPr>
        <w:t>)</w:t>
      </w:r>
      <w:r w:rsidRPr="4A295D1F">
        <w:rPr>
          <w:rFonts w:cs="Tahoma"/>
          <w:sz w:val="20"/>
          <w:szCs w:val="20"/>
        </w:rPr>
        <w:t>, należy wpłacić w kasie Urzędu Miejskiego w Elblągu lub na konto w</w:t>
      </w:r>
      <w:r w:rsidR="009D2F8C">
        <w:rPr>
          <w:rFonts w:cs="Tahoma"/>
          <w:sz w:val="20"/>
          <w:szCs w:val="20"/>
        </w:rPr>
        <w:t> </w:t>
      </w:r>
      <w:r w:rsidRPr="4A295D1F">
        <w:rPr>
          <w:rFonts w:cs="Tahoma"/>
          <w:sz w:val="20"/>
          <w:szCs w:val="20"/>
        </w:rPr>
        <w:t xml:space="preserve">Banku </w:t>
      </w:r>
      <w:r w:rsidRPr="4A295D1F">
        <w:rPr>
          <w:sz w:val="20"/>
          <w:szCs w:val="20"/>
        </w:rPr>
        <w:t>PKO BP S.A. z siedzibą w Warszawie nr 95 1020 1811 0000 0902 0334 1138</w:t>
      </w:r>
      <w:r w:rsidR="00950776">
        <w:rPr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</w:t>
      </w:r>
      <w:r w:rsidR="009D2F8C">
        <w:rPr>
          <w:rFonts w:cs="Tahoma"/>
          <w:b/>
          <w:bCs/>
          <w:sz w:val="20"/>
          <w:szCs w:val="20"/>
        </w:rPr>
        <w:t>do dnia</w:t>
      </w:r>
      <w:r w:rsidR="00EC34F9">
        <w:rPr>
          <w:rFonts w:cs="Tahoma"/>
          <w:b/>
          <w:bCs/>
          <w:sz w:val="20"/>
          <w:szCs w:val="20"/>
        </w:rPr>
        <w:br/>
      </w:r>
      <w:r w:rsidR="002A7E7F">
        <w:rPr>
          <w:rFonts w:cs="Tahoma"/>
          <w:b/>
          <w:bCs/>
          <w:sz w:val="20"/>
          <w:szCs w:val="20"/>
        </w:rPr>
        <w:t>9 września</w:t>
      </w:r>
      <w:r w:rsidR="00EC34F9">
        <w:rPr>
          <w:rFonts w:cs="Tahoma"/>
          <w:b/>
          <w:bCs/>
          <w:sz w:val="20"/>
          <w:szCs w:val="20"/>
        </w:rPr>
        <w:t xml:space="preserve"> 202</w:t>
      </w:r>
      <w:r w:rsidR="009E3752">
        <w:rPr>
          <w:rFonts w:cs="Tahoma"/>
          <w:b/>
          <w:bCs/>
          <w:sz w:val="20"/>
          <w:szCs w:val="20"/>
        </w:rPr>
        <w:t>4</w:t>
      </w:r>
      <w:r w:rsidRPr="4A295D1F">
        <w:rPr>
          <w:rFonts w:cs="Tahoma"/>
          <w:b/>
          <w:bCs/>
          <w:sz w:val="20"/>
          <w:szCs w:val="20"/>
        </w:rPr>
        <w:t xml:space="preserve"> r.</w:t>
      </w:r>
      <w:r w:rsidR="00813F6F" w:rsidRPr="00813F6F">
        <w:rPr>
          <w:b/>
          <w:sz w:val="20"/>
          <w:szCs w:val="20"/>
          <w:u w:val="single"/>
        </w:rPr>
        <w:t xml:space="preserve"> </w:t>
      </w:r>
      <w:r w:rsidR="00813F6F">
        <w:rPr>
          <w:b/>
          <w:sz w:val="20"/>
          <w:szCs w:val="20"/>
          <w:u w:val="single"/>
        </w:rPr>
        <w:t>Za termin wniesienia wadium uznaje się datę zaksięgowania środków na rachunku Gminy Miasto Elbląg.</w:t>
      </w:r>
      <w:r w:rsidRPr="4A295D1F">
        <w:rPr>
          <w:rFonts w:cs="Tahoma"/>
          <w:sz w:val="20"/>
          <w:szCs w:val="20"/>
        </w:rPr>
        <w:t xml:space="preserve"> Wadium wpłacone przez uczestnika przetargu, który ustalony zostanie jako </w:t>
      </w:r>
      <w:r w:rsidR="00950776">
        <w:rPr>
          <w:rFonts w:cs="Tahoma"/>
          <w:sz w:val="20"/>
          <w:szCs w:val="20"/>
        </w:rPr>
        <w:t>N</w:t>
      </w:r>
      <w:r w:rsidRPr="4A295D1F">
        <w:rPr>
          <w:rFonts w:cs="Tahoma"/>
          <w:sz w:val="20"/>
          <w:szCs w:val="20"/>
        </w:rPr>
        <w:t>abywca, zaliczone zostanie na poczet ceny nabycia nieruchomości. Pozostałym uczestnikom przetargu</w:t>
      </w:r>
      <w:r w:rsidR="00950776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wadium zostanie zwrócone niezwłocznie po zamknięciu przetargu, jednak nie później niż przed upływem 3 dni.</w:t>
      </w:r>
    </w:p>
    <w:p w14:paraId="76C24161" w14:textId="005F0C58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Wysokość postąpienia:</w:t>
      </w:r>
      <w:r w:rsidRPr="4A295D1F">
        <w:rPr>
          <w:rFonts w:cs="Tahoma"/>
          <w:sz w:val="20"/>
          <w:szCs w:val="20"/>
        </w:rPr>
        <w:t xml:space="preserve"> o wysokości postąpienia decydują uczestnicy przetargu z tym, że postąpienie nie może wynosić mniej niż 1% ceny wywoławczej, z zaokrągleniem do pełnych dziesiątek złotych, </w:t>
      </w:r>
      <w:r w:rsidR="00060965">
        <w:br/>
      </w:r>
      <w:r w:rsidRPr="4A295D1F">
        <w:rPr>
          <w:rFonts w:cs="Tahoma"/>
          <w:sz w:val="20"/>
          <w:szCs w:val="20"/>
        </w:rPr>
        <w:t xml:space="preserve">tj. </w:t>
      </w:r>
      <w:r w:rsidR="00EC34F9">
        <w:rPr>
          <w:rFonts w:cs="Tahoma"/>
          <w:b/>
          <w:bCs/>
          <w:sz w:val="20"/>
          <w:szCs w:val="20"/>
        </w:rPr>
        <w:t xml:space="preserve">nie mniej niż </w:t>
      </w:r>
      <w:r w:rsidR="00EC72AB">
        <w:rPr>
          <w:rFonts w:cs="Tahoma"/>
          <w:b/>
          <w:bCs/>
          <w:sz w:val="20"/>
          <w:szCs w:val="20"/>
        </w:rPr>
        <w:t>290</w:t>
      </w:r>
      <w:r w:rsidRPr="4A295D1F">
        <w:rPr>
          <w:rFonts w:cs="Tahoma"/>
          <w:b/>
          <w:bCs/>
          <w:sz w:val="20"/>
          <w:szCs w:val="20"/>
        </w:rPr>
        <w:t xml:space="preserve"> zł</w:t>
      </w:r>
      <w:r w:rsidRPr="4A295D1F">
        <w:rPr>
          <w:rFonts w:cs="Tahoma"/>
          <w:sz w:val="20"/>
          <w:szCs w:val="20"/>
        </w:rPr>
        <w:t>.</w:t>
      </w:r>
    </w:p>
    <w:p w14:paraId="2E875BEB" w14:textId="24170A65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Skutki uchylenia się od zawarcia umowy sprzedaży:</w:t>
      </w:r>
      <w:r w:rsidRPr="4A295D1F">
        <w:rPr>
          <w:rFonts w:cs="Tahoma"/>
          <w:sz w:val="20"/>
          <w:szCs w:val="20"/>
        </w:rPr>
        <w:t xml:space="preserve"> jeżeli uczestnik przetargu</w:t>
      </w:r>
      <w:r w:rsidR="002E7879">
        <w:rPr>
          <w:rFonts w:cs="Tahoma"/>
          <w:sz w:val="20"/>
          <w:szCs w:val="20"/>
        </w:rPr>
        <w:t>, ustalony</w:t>
      </w:r>
      <w:r w:rsidRPr="4A295D1F">
        <w:rPr>
          <w:rFonts w:cs="Tahoma"/>
          <w:sz w:val="20"/>
          <w:szCs w:val="20"/>
        </w:rPr>
        <w:t xml:space="preserve"> jako </w:t>
      </w:r>
      <w:r w:rsidR="00950776">
        <w:rPr>
          <w:rFonts w:cs="Tahoma"/>
          <w:sz w:val="20"/>
          <w:szCs w:val="20"/>
        </w:rPr>
        <w:t>N</w:t>
      </w:r>
      <w:r w:rsidRPr="4A295D1F">
        <w:rPr>
          <w:rFonts w:cs="Tahoma"/>
          <w:sz w:val="20"/>
          <w:szCs w:val="20"/>
        </w:rPr>
        <w:t>abywca</w:t>
      </w:r>
      <w:r w:rsidR="002E7879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uchyli się od podpisania umowy sprzedaży</w:t>
      </w:r>
      <w:r w:rsidR="002E7879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w formie aktu notarialnego</w:t>
      </w:r>
      <w:r w:rsidR="00950776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wpłacone wadium nie będzie podlegało zwrotowi.</w:t>
      </w:r>
    </w:p>
    <w:p w14:paraId="62359FAE" w14:textId="77777777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 xml:space="preserve">Warunki nabycia nieruchomości: </w:t>
      </w:r>
    </w:p>
    <w:p w14:paraId="1C4670BF" w14:textId="54F82606" w:rsidR="002A7E7F" w:rsidRDefault="002A7E7F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>
        <w:rPr>
          <w:sz w:val="20"/>
          <w:szCs w:val="20"/>
        </w:rPr>
        <w:t>Nieruchomość objęta przetargiem była przedmiotem pierwszego ustnego przetargu ograniczonego, przeprowadzonego w dniu 20 maja 2024 r., który zakończył się wynikiem negatywnym.</w:t>
      </w:r>
    </w:p>
    <w:p w14:paraId="60DC8063" w14:textId="15F96939" w:rsidR="00921381" w:rsidRDefault="00EC34F9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00DC77F6">
        <w:rPr>
          <w:rFonts w:cs="Tahoma"/>
          <w:sz w:val="20"/>
          <w:szCs w:val="20"/>
        </w:rPr>
        <w:t>Nieruchomość objęta przetargiem stanowi własność Gminy Miasto Elbląg i nie jest obciążona żadnymi prawam</w:t>
      </w:r>
      <w:r>
        <w:rPr>
          <w:rFonts w:cs="Tahoma"/>
          <w:sz w:val="20"/>
          <w:szCs w:val="20"/>
        </w:rPr>
        <w:t xml:space="preserve">i i długami wobec osób trzecich, </w:t>
      </w:r>
      <w:r>
        <w:rPr>
          <w:sz w:val="20"/>
          <w:szCs w:val="20"/>
        </w:rPr>
        <w:t>za wyjątkiem praw wynikających z przebiegu przez nieruchomoś</w:t>
      </w:r>
      <w:r w:rsidR="00C54A89">
        <w:rPr>
          <w:sz w:val="20"/>
          <w:szCs w:val="20"/>
        </w:rPr>
        <w:t>ć</w:t>
      </w:r>
      <w:r>
        <w:rPr>
          <w:sz w:val="20"/>
          <w:szCs w:val="20"/>
        </w:rPr>
        <w:t xml:space="preserve"> sieci infrastruktury technicznej uzbrojenia terenu i przyłączy do tych sieci</w:t>
      </w:r>
      <w:r w:rsidR="00425454">
        <w:rPr>
          <w:rFonts w:cs="Tahoma"/>
          <w:sz w:val="20"/>
          <w:szCs w:val="20"/>
        </w:rPr>
        <w:t>.</w:t>
      </w:r>
    </w:p>
    <w:p w14:paraId="75956B7B" w14:textId="77777777" w:rsidR="00060DDD" w:rsidRPr="00A65561" w:rsidRDefault="4A295D1F" w:rsidP="005A4696">
      <w:pPr>
        <w:numPr>
          <w:ilvl w:val="1"/>
          <w:numId w:val="1"/>
        </w:numPr>
        <w:tabs>
          <w:tab w:val="clear" w:pos="502"/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Gmina Miasto Elbląg nie ponosi odpowiedzialności za wady ukryte nieruchomości.</w:t>
      </w:r>
    </w:p>
    <w:p w14:paraId="48DBD13A" w14:textId="212EF4EC" w:rsidR="002C4E55" w:rsidRDefault="002C4E55" w:rsidP="005A4696">
      <w:pPr>
        <w:numPr>
          <w:ilvl w:val="1"/>
          <w:numId w:val="1"/>
        </w:numPr>
        <w:tabs>
          <w:tab w:val="clear" w:pos="502"/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>
        <w:rPr>
          <w:rFonts w:eastAsia="Tahoma"/>
          <w:sz w:val="20"/>
          <w:szCs w:val="20"/>
        </w:rPr>
        <w:t>Nieruchomość położona jest na terenie szczególnego zagrożenia powodzią, na którym prawdopodobieństwo wystąpienia powodzi jest średnie i wynosi raz na 100 lat. Na obszarach szczególnego zagrożenia powodzią, obowiązują przepisy ustawy z dnia 20 lipca 2017 r. Prawo wodne (Dz.U. z 202</w:t>
      </w:r>
      <w:r w:rsidR="001A4406">
        <w:rPr>
          <w:rFonts w:eastAsia="Tahoma"/>
          <w:sz w:val="20"/>
          <w:szCs w:val="20"/>
        </w:rPr>
        <w:t>3</w:t>
      </w:r>
      <w:r>
        <w:rPr>
          <w:rFonts w:eastAsia="Tahoma"/>
          <w:sz w:val="20"/>
          <w:szCs w:val="20"/>
        </w:rPr>
        <w:t xml:space="preserve"> r. poz. </w:t>
      </w:r>
      <w:r w:rsidR="001A4406">
        <w:rPr>
          <w:rFonts w:eastAsia="Tahoma"/>
          <w:sz w:val="20"/>
          <w:szCs w:val="20"/>
        </w:rPr>
        <w:t>1478</w:t>
      </w:r>
      <w:r>
        <w:rPr>
          <w:rFonts w:eastAsia="Tahoma"/>
          <w:sz w:val="20"/>
          <w:szCs w:val="20"/>
        </w:rPr>
        <w:t xml:space="preserve"> ze zm.)</w:t>
      </w:r>
    </w:p>
    <w:p w14:paraId="37445648" w14:textId="22F69C96" w:rsidR="0057038B" w:rsidRPr="00A65561" w:rsidRDefault="4A295D1F" w:rsidP="005A4696">
      <w:pPr>
        <w:numPr>
          <w:ilvl w:val="1"/>
          <w:numId w:val="1"/>
        </w:numPr>
        <w:tabs>
          <w:tab w:val="clear" w:pos="502"/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Sprzedaż i wydanie nieruchomości w posiadanie Nabywcy</w:t>
      </w:r>
      <w:r w:rsidR="002E7879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następuje według danych zawartych w ewidencji gruntów i budynków oraz w aktualnym stanie zagospodarowania, ewentualny koszt wznowienia punktów granicznych (granic) ponosi Nabywca.</w:t>
      </w:r>
    </w:p>
    <w:p w14:paraId="2FCCAEC7" w14:textId="2E0F8F7C" w:rsidR="0057038B" w:rsidRPr="002C4E55" w:rsidRDefault="4A295D1F" w:rsidP="005A4696">
      <w:pPr>
        <w:numPr>
          <w:ilvl w:val="1"/>
          <w:numId w:val="1"/>
        </w:numPr>
        <w:tabs>
          <w:tab w:val="clear" w:pos="502"/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sz w:val="20"/>
          <w:szCs w:val="20"/>
        </w:rPr>
        <w:t xml:space="preserve">W przypadku zaistnienia konieczności usunięcia drzew i krzewów z terenu </w:t>
      </w:r>
      <w:r w:rsidR="008A53B0">
        <w:rPr>
          <w:sz w:val="20"/>
          <w:szCs w:val="20"/>
        </w:rPr>
        <w:t xml:space="preserve">nabywanej </w:t>
      </w:r>
      <w:r w:rsidRPr="4A295D1F">
        <w:rPr>
          <w:sz w:val="20"/>
          <w:szCs w:val="20"/>
        </w:rPr>
        <w:t>nieruchomości, Nabywca zobowiązany będzie uczynić to własnym staraniem i na własny koszt. Wycinka może nastąpić po uzyskaniu przez Nabywcę stosownych zezwoleń i może wiązać się z opłatami z tego tytułu.</w:t>
      </w:r>
    </w:p>
    <w:p w14:paraId="343A5EB2" w14:textId="3FC37AC5" w:rsidR="002C4E55" w:rsidRPr="00A65561" w:rsidRDefault="002C4E55" w:rsidP="005A4696">
      <w:pPr>
        <w:numPr>
          <w:ilvl w:val="1"/>
          <w:numId w:val="1"/>
        </w:numPr>
        <w:tabs>
          <w:tab w:val="clear" w:pos="502"/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0057038B">
        <w:rPr>
          <w:rFonts w:cs="Tahoma"/>
          <w:bCs/>
          <w:sz w:val="20"/>
          <w:szCs w:val="20"/>
        </w:rPr>
        <w:t>W związku z przebiegiem przez nieruchomość sieci uzbrojenia terenu</w:t>
      </w:r>
      <w:r w:rsidR="00C54A89">
        <w:rPr>
          <w:rFonts w:cs="Tahoma"/>
          <w:bCs/>
          <w:sz w:val="20"/>
          <w:szCs w:val="20"/>
        </w:rPr>
        <w:t>,</w:t>
      </w:r>
      <w:r w:rsidRPr="0057038B">
        <w:rPr>
          <w:rFonts w:cs="Tahoma"/>
          <w:bCs/>
          <w:sz w:val="20"/>
          <w:szCs w:val="20"/>
        </w:rPr>
        <w:t xml:space="preserve"> Nabywca zobowiązany będzie do złożenia oświadczenia, iż nie żąda i nie będzie żądać w przyszłości od Sprzedającego bądź gestorów tych sieci, ich usunięcia. Ponadto Nabywca zobowiąże się, w przypadku zgłoszenia przez gestorów sieci takiego żądania, do ustanowienia na ich rzecz służebności przesyłu</w:t>
      </w:r>
      <w:r w:rsidR="00C54A89">
        <w:rPr>
          <w:rFonts w:cs="Tahoma"/>
          <w:bCs/>
          <w:sz w:val="20"/>
          <w:szCs w:val="20"/>
        </w:rPr>
        <w:t>,</w:t>
      </w:r>
      <w:r w:rsidRPr="0057038B">
        <w:rPr>
          <w:rFonts w:cs="Tahoma"/>
          <w:bCs/>
          <w:sz w:val="20"/>
          <w:szCs w:val="20"/>
        </w:rPr>
        <w:t xml:space="preserve"> polegającej na prawie przebiegu sieci uzbrojenia terenu oraz prawie dostępu służb technicznych</w:t>
      </w:r>
      <w:r w:rsidR="00C54A89">
        <w:rPr>
          <w:rFonts w:cs="Tahoma"/>
          <w:bCs/>
          <w:sz w:val="20"/>
          <w:szCs w:val="20"/>
        </w:rPr>
        <w:t>,</w:t>
      </w:r>
      <w:r w:rsidRPr="0057038B">
        <w:rPr>
          <w:rFonts w:cs="Tahoma"/>
          <w:bCs/>
          <w:sz w:val="20"/>
          <w:szCs w:val="20"/>
        </w:rPr>
        <w:t xml:space="preserve"> w zakresie niezbędnym do eksploatacji tych sieci i usuwania awarii</w:t>
      </w:r>
      <w:r>
        <w:rPr>
          <w:rFonts w:cs="Tahoma"/>
          <w:bCs/>
          <w:sz w:val="20"/>
          <w:szCs w:val="20"/>
        </w:rPr>
        <w:t>.</w:t>
      </w:r>
    </w:p>
    <w:p w14:paraId="204C110D" w14:textId="77777777" w:rsidR="00060965" w:rsidRPr="00A65561" w:rsidRDefault="4A295D1F" w:rsidP="005A4696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hanging="322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Informacje dodatkowe:</w:t>
      </w:r>
    </w:p>
    <w:p w14:paraId="4C19AC5A" w14:textId="628FA521" w:rsidR="00060965" w:rsidRPr="00A65561" w:rsidRDefault="4A295D1F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Przetarg przeprowadzony zostanie w trybie przewidzianym przepisami ustawy z dnia 21 sierpnia 1997 r. o gospodarce nieruchomośc</w:t>
      </w:r>
      <w:r w:rsidR="00D3675A">
        <w:rPr>
          <w:rFonts w:cs="Tahoma"/>
          <w:sz w:val="20"/>
          <w:szCs w:val="20"/>
        </w:rPr>
        <w:t>iami (Dz.U. z 202</w:t>
      </w:r>
      <w:r w:rsidR="009E3752">
        <w:rPr>
          <w:rFonts w:cs="Tahoma"/>
          <w:sz w:val="20"/>
          <w:szCs w:val="20"/>
        </w:rPr>
        <w:t>3</w:t>
      </w:r>
      <w:r w:rsidR="00D3675A">
        <w:rPr>
          <w:rFonts w:cs="Tahoma"/>
          <w:sz w:val="20"/>
          <w:szCs w:val="20"/>
        </w:rPr>
        <w:t xml:space="preserve"> poz. </w:t>
      </w:r>
      <w:r w:rsidR="009E3752">
        <w:rPr>
          <w:rFonts w:cs="Tahoma"/>
          <w:sz w:val="20"/>
          <w:szCs w:val="20"/>
        </w:rPr>
        <w:t>344</w:t>
      </w:r>
      <w:r w:rsidR="00063178">
        <w:rPr>
          <w:rFonts w:cs="Tahoma"/>
          <w:sz w:val="20"/>
          <w:szCs w:val="20"/>
        </w:rPr>
        <w:t xml:space="preserve"> ze zm</w:t>
      </w:r>
      <w:r w:rsidRPr="4A295D1F">
        <w:rPr>
          <w:rFonts w:cs="Tahoma"/>
          <w:sz w:val="20"/>
          <w:szCs w:val="20"/>
        </w:rPr>
        <w:t>.) oraz rozporządzenia Rady Ministrów z dnia 14 września 2004 r. w sprawie sposobu i trybu przeprowadzania przetargów oraz rokowań na zbycie nieruchomości (</w:t>
      </w:r>
      <w:r w:rsidR="002C4E55">
        <w:rPr>
          <w:sz w:val="20"/>
          <w:szCs w:val="20"/>
        </w:rPr>
        <w:t>t.j.Dz.U. z 2021 r., poz.2213</w:t>
      </w:r>
      <w:r w:rsidRPr="4A295D1F">
        <w:rPr>
          <w:rFonts w:cs="Tahoma"/>
          <w:sz w:val="20"/>
          <w:szCs w:val="20"/>
        </w:rPr>
        <w:t>).</w:t>
      </w:r>
    </w:p>
    <w:p w14:paraId="5C49C065" w14:textId="77777777" w:rsidR="00060965" w:rsidRPr="00A65561" w:rsidRDefault="4A295D1F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Przetarg będzie ważny bez względu na liczbę uczestników, jeżeli chociaż jeden uczestnik zaoferuje cenę wyższą od ceny wywoławczej, o co najmniej jedno postąpienie.</w:t>
      </w:r>
    </w:p>
    <w:p w14:paraId="5A128518" w14:textId="77777777" w:rsidR="00060965" w:rsidRPr="00A65561" w:rsidRDefault="4A295D1F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 xml:space="preserve">Nabycie nieruchomości przez cudzoziemca, w rozumieniu przepisów ustawy o nabywaniu nieruchomości przez cudzoziemców, wymaga uzyskania zezwolenia ministra właściwego do spraw wewnętrznych i administracji. W przypadku nie uzyskania przez osobę ustaloną, jako Nabywca </w:t>
      </w:r>
      <w:r w:rsidRPr="4A295D1F">
        <w:rPr>
          <w:rFonts w:cs="Tahoma"/>
          <w:sz w:val="20"/>
          <w:szCs w:val="20"/>
        </w:rPr>
        <w:lastRenderedPageBreak/>
        <w:t>nieruchomości, wymaganego zezwolenia, wpłacone wadium ulegnie przepadkowi na rzecz Gminy Miasto Elbląg.</w:t>
      </w:r>
    </w:p>
    <w:p w14:paraId="67F7051C" w14:textId="65306EFC" w:rsidR="00950776" w:rsidRPr="00063178" w:rsidRDefault="4A295D1F" w:rsidP="00063178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Organizator przetargu zawiadomi osobę</w:t>
      </w:r>
      <w:r w:rsidR="002E7879">
        <w:rPr>
          <w:rFonts w:cs="Tahoma"/>
          <w:sz w:val="20"/>
          <w:szCs w:val="20"/>
        </w:rPr>
        <w:t>, ustaloną</w:t>
      </w:r>
      <w:r w:rsidRPr="4A295D1F">
        <w:rPr>
          <w:rFonts w:cs="Tahoma"/>
          <w:sz w:val="20"/>
          <w:szCs w:val="20"/>
        </w:rPr>
        <w:t xml:space="preserve"> jako </w:t>
      </w:r>
      <w:r w:rsidR="00950776">
        <w:rPr>
          <w:rFonts w:cs="Tahoma"/>
          <w:sz w:val="20"/>
          <w:szCs w:val="20"/>
        </w:rPr>
        <w:t>N</w:t>
      </w:r>
      <w:r w:rsidRPr="4A295D1F">
        <w:rPr>
          <w:rFonts w:cs="Tahoma"/>
          <w:sz w:val="20"/>
          <w:szCs w:val="20"/>
        </w:rPr>
        <w:t>abywca nieruchomości o terminie i miejscu zawarcia umowy sprzedaży, najpóźniej w terminie 21 dni od dnia rozstrzygnięcia przetargu.</w:t>
      </w:r>
    </w:p>
    <w:p w14:paraId="3F2B3D9B" w14:textId="77777777" w:rsidR="00060965" w:rsidRPr="00A65561" w:rsidRDefault="4A295D1F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Uczestnicy przetargu winni:</w:t>
      </w:r>
    </w:p>
    <w:p w14:paraId="01141E7C" w14:textId="77777777" w:rsidR="00060965" w:rsidRPr="00A65561" w:rsidRDefault="00060965" w:rsidP="005A4696">
      <w:pPr>
        <w:numPr>
          <w:ilvl w:val="2"/>
          <w:numId w:val="2"/>
        </w:numPr>
        <w:tabs>
          <w:tab w:val="clear" w:pos="2018"/>
          <w:tab w:val="num" w:pos="900"/>
        </w:tabs>
        <w:autoSpaceDE w:val="0"/>
        <w:autoSpaceDN w:val="0"/>
        <w:adjustRightInd w:val="0"/>
        <w:spacing w:after="60" w:line="276" w:lineRule="auto"/>
        <w:ind w:left="900" w:hanging="180"/>
        <w:jc w:val="both"/>
        <w:rPr>
          <w:rFonts w:cs="Tahoma"/>
          <w:sz w:val="20"/>
          <w:szCs w:val="20"/>
        </w:rPr>
      </w:pPr>
      <w:r w:rsidRPr="00A65561">
        <w:rPr>
          <w:rFonts w:cs="Tahoma"/>
          <w:sz w:val="20"/>
          <w:szCs w:val="20"/>
        </w:rPr>
        <w:t>legitymować się dowodem osobistym, a ponadto w przypadku prowadzenia działalności gospodarczej należy posiadać i przedłożyć komisji przetargowej:</w:t>
      </w:r>
    </w:p>
    <w:p w14:paraId="368AC702" w14:textId="77777777" w:rsidR="00BB2C75" w:rsidRPr="00A65561" w:rsidRDefault="00060965" w:rsidP="005A4696">
      <w:pPr>
        <w:numPr>
          <w:ilvl w:val="3"/>
          <w:numId w:val="2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60" w:line="276" w:lineRule="auto"/>
        <w:ind w:left="1276" w:hanging="284"/>
        <w:jc w:val="both"/>
        <w:rPr>
          <w:rFonts w:cs="Tahoma"/>
          <w:sz w:val="20"/>
          <w:szCs w:val="20"/>
        </w:rPr>
      </w:pPr>
      <w:r w:rsidRPr="00A65561">
        <w:rPr>
          <w:rFonts w:cs="Tahoma"/>
          <w:sz w:val="20"/>
          <w:szCs w:val="20"/>
        </w:rPr>
        <w:t xml:space="preserve">osoby fizyczne – zaświadczenie o wpisie </w:t>
      </w:r>
      <w:r w:rsidR="009B1180" w:rsidRPr="00A65561">
        <w:rPr>
          <w:rFonts w:cs="Tahoma"/>
          <w:sz w:val="20"/>
          <w:szCs w:val="20"/>
        </w:rPr>
        <w:t xml:space="preserve">w CEIDG (wydrukowane ze strony internetowej Centralnej Ewidencji i Informacji o Działalności Gospodarczej </w:t>
      </w:r>
      <w:hyperlink r:id="rId12" w:history="1">
        <w:r w:rsidR="005402EB" w:rsidRPr="00A65561">
          <w:rPr>
            <w:rStyle w:val="Hipercze"/>
            <w:rFonts w:cs="Tahoma"/>
            <w:sz w:val="20"/>
            <w:szCs w:val="20"/>
          </w:rPr>
          <w:t>www.firma.gov.pl</w:t>
        </w:r>
      </w:hyperlink>
      <w:r w:rsidR="005402EB" w:rsidRPr="00A65561">
        <w:rPr>
          <w:rFonts w:cs="Tahoma"/>
          <w:sz w:val="20"/>
          <w:szCs w:val="20"/>
        </w:rPr>
        <w:t>),</w:t>
      </w:r>
    </w:p>
    <w:p w14:paraId="15CBA7F0" w14:textId="77777777" w:rsidR="00060965" w:rsidRPr="00A65561" w:rsidRDefault="00060965" w:rsidP="005A4696">
      <w:pPr>
        <w:numPr>
          <w:ilvl w:val="3"/>
          <w:numId w:val="2"/>
        </w:numPr>
        <w:tabs>
          <w:tab w:val="clear" w:pos="1211"/>
          <w:tab w:val="num" w:pos="1276"/>
        </w:tabs>
        <w:autoSpaceDE w:val="0"/>
        <w:autoSpaceDN w:val="0"/>
        <w:adjustRightInd w:val="0"/>
        <w:spacing w:after="60" w:line="276" w:lineRule="auto"/>
        <w:ind w:left="1276" w:hanging="284"/>
        <w:jc w:val="both"/>
        <w:rPr>
          <w:rFonts w:cs="Tahoma"/>
          <w:sz w:val="20"/>
          <w:szCs w:val="20"/>
        </w:rPr>
      </w:pPr>
      <w:r w:rsidRPr="00A65561">
        <w:rPr>
          <w:rFonts w:cs="Tahoma"/>
          <w:sz w:val="20"/>
          <w:szCs w:val="20"/>
        </w:rPr>
        <w:t>osoby prawne</w:t>
      </w:r>
      <w:r w:rsidR="0036435F" w:rsidRPr="00A65561">
        <w:rPr>
          <w:rFonts w:cs="Tahoma"/>
          <w:sz w:val="20"/>
          <w:szCs w:val="20"/>
        </w:rPr>
        <w:t xml:space="preserve"> –</w:t>
      </w:r>
      <w:r w:rsidRPr="00A65561">
        <w:rPr>
          <w:rFonts w:cs="Tahoma"/>
          <w:sz w:val="20"/>
          <w:szCs w:val="20"/>
        </w:rPr>
        <w:t xml:space="preserve"> </w:t>
      </w:r>
      <w:r w:rsidR="005402EB" w:rsidRPr="00A65561">
        <w:rPr>
          <w:sz w:val="20"/>
          <w:szCs w:val="20"/>
        </w:rPr>
        <w:t>wypis z właściwego rejestru, a w przypadku KRS</w:t>
      </w:r>
      <w:r w:rsidR="0036435F" w:rsidRPr="00A65561">
        <w:rPr>
          <w:sz w:val="20"/>
          <w:szCs w:val="20"/>
        </w:rPr>
        <w:t xml:space="preserve"> –</w:t>
      </w:r>
      <w:r w:rsidR="005402EB" w:rsidRPr="00A65561">
        <w:rPr>
          <w:sz w:val="20"/>
          <w:szCs w:val="20"/>
        </w:rPr>
        <w:t xml:space="preserve"> informację odpowiadającą odpisowi aktualnemu z Rejestru Przedsiębiorców (wydrukowaną ze strony internetowej Ministerstwa Sprawiedliwości </w:t>
      </w:r>
      <w:hyperlink r:id="rId13" w:history="1">
        <w:r w:rsidR="005402EB" w:rsidRPr="00A65561">
          <w:rPr>
            <w:rStyle w:val="Hipercze"/>
            <w:sz w:val="20"/>
            <w:szCs w:val="20"/>
          </w:rPr>
          <w:t>https://ems.ms.gov.pl</w:t>
        </w:r>
      </w:hyperlink>
      <w:r w:rsidR="005402EB" w:rsidRPr="00A65561">
        <w:rPr>
          <w:sz w:val="20"/>
          <w:szCs w:val="20"/>
        </w:rPr>
        <w:t>) oraz zgodę organów statutowych na nabycie nieruchomości stanowiącej przedmiot przetargu</w:t>
      </w:r>
      <w:r w:rsidRPr="00A65561">
        <w:rPr>
          <w:rFonts w:cs="Tahoma"/>
          <w:sz w:val="20"/>
          <w:szCs w:val="20"/>
        </w:rPr>
        <w:t>,</w:t>
      </w:r>
    </w:p>
    <w:p w14:paraId="507EA0E8" w14:textId="754CE98F" w:rsidR="001D47C2" w:rsidRPr="00A65561" w:rsidRDefault="4A295D1F" w:rsidP="005A4696">
      <w:pPr>
        <w:numPr>
          <w:ilvl w:val="1"/>
          <w:numId w:val="1"/>
        </w:numPr>
        <w:tabs>
          <w:tab w:val="clear" w:pos="502"/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W przypadku osób fizycznych, które przystępując do przetargu w ramach spółki cywilnej, działają również na rzecz nieuczestniczących w przetargu wspólników, winna zostać przedstawiona zgoda wspólników na nabycie nieruchomości lub umowa spółki</w:t>
      </w:r>
      <w:r w:rsidR="00950776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uprawniająca wspólnika/wspólników uczestniczących w przetargu</w:t>
      </w:r>
      <w:r w:rsidR="00950776">
        <w:rPr>
          <w:rFonts w:cs="Tahoma"/>
          <w:sz w:val="20"/>
          <w:szCs w:val="20"/>
        </w:rPr>
        <w:t>,</w:t>
      </w:r>
      <w:r w:rsidRPr="4A295D1F">
        <w:rPr>
          <w:rFonts w:cs="Tahoma"/>
          <w:sz w:val="20"/>
          <w:szCs w:val="20"/>
        </w:rPr>
        <w:t xml:space="preserve"> do nabywania nieruchomości bez zgody pozostałych wspólników.</w:t>
      </w:r>
    </w:p>
    <w:p w14:paraId="53F1C6A7" w14:textId="77777777" w:rsidR="003E5FB7" w:rsidRPr="00A65561" w:rsidRDefault="4A295D1F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W przypadku działania poprzez pełnomocnika, pełnomocnik winien ponadto przedłożyć komisji przetargowej oryginał pełnomocnictwa sporządzonego w formie aktu notarialnego lub pełnomocnictwa z notarialnie poświadczonym podpisem.</w:t>
      </w:r>
    </w:p>
    <w:p w14:paraId="292F412C" w14:textId="77777777" w:rsidR="009B1180" w:rsidRPr="00A65561" w:rsidRDefault="4A295D1F" w:rsidP="005A4696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W przypadku nabywania nieruchomości przez małżonków do wspólności ustawowej, na przetargu winni stawić się oboje małżonkowie lub jeden z małżonków, wraz z oryginałem szczegółowego pełnomocnictwa sporządzonego w formie aktu notarialnego lub pełnomocnictwa z notarialnie poświadczonym podpisem, albo ich pełnomocnik wraz z oryginałami szczegółowych pełnomocnictw obydwojga małżonków, sporządzonymi w formie aktów notarialnych lub pełnomocnictw z notarialnie poświadczonymi podpisami.</w:t>
      </w:r>
    </w:p>
    <w:p w14:paraId="3C6AFCFD" w14:textId="77777777" w:rsidR="00060965" w:rsidRPr="00A65561" w:rsidRDefault="4A295D1F" w:rsidP="005A4696">
      <w:pPr>
        <w:numPr>
          <w:ilvl w:val="1"/>
          <w:numId w:val="1"/>
        </w:numPr>
        <w:tabs>
          <w:tab w:val="clear" w:pos="502"/>
          <w:tab w:val="num" w:pos="720"/>
        </w:tabs>
        <w:autoSpaceDE w:val="0"/>
        <w:autoSpaceDN w:val="0"/>
        <w:adjustRightInd w:val="0"/>
        <w:spacing w:after="60" w:line="276" w:lineRule="auto"/>
        <w:ind w:left="720"/>
        <w:jc w:val="both"/>
        <w:rPr>
          <w:rFonts w:cs="Tahoma"/>
          <w:sz w:val="20"/>
          <w:szCs w:val="20"/>
        </w:rPr>
      </w:pPr>
      <w:r w:rsidRPr="4A295D1F">
        <w:rPr>
          <w:rFonts w:cs="Tahoma"/>
          <w:sz w:val="20"/>
          <w:szCs w:val="20"/>
        </w:rPr>
        <w:t>Wszelkie koszty, w tym w szczególności opłaty notarialne i sądowe, związane z zawarciem umowy sprzedaży ponosi Nabywca.</w:t>
      </w:r>
    </w:p>
    <w:p w14:paraId="02DA0D10" w14:textId="77777777" w:rsidR="00060965" w:rsidRPr="00A65561" w:rsidRDefault="4A295D1F" w:rsidP="005A4696">
      <w:pPr>
        <w:numPr>
          <w:ilvl w:val="0"/>
          <w:numId w:val="1"/>
        </w:numPr>
        <w:tabs>
          <w:tab w:val="num" w:pos="398"/>
        </w:tabs>
        <w:autoSpaceDE w:val="0"/>
        <w:autoSpaceDN w:val="0"/>
        <w:adjustRightInd w:val="0"/>
        <w:spacing w:after="60" w:line="276" w:lineRule="auto"/>
        <w:ind w:left="398"/>
        <w:jc w:val="both"/>
        <w:rPr>
          <w:rFonts w:cs="Tahoma"/>
          <w:sz w:val="20"/>
          <w:szCs w:val="20"/>
        </w:rPr>
      </w:pPr>
      <w:r w:rsidRPr="4A295D1F">
        <w:rPr>
          <w:rFonts w:cs="Tahoma"/>
          <w:b/>
          <w:bCs/>
          <w:sz w:val="20"/>
          <w:szCs w:val="20"/>
        </w:rPr>
        <w:t>Zastrzeżenia:</w:t>
      </w:r>
      <w:r w:rsidRPr="4A295D1F">
        <w:rPr>
          <w:rFonts w:cs="Tahoma"/>
          <w:sz w:val="20"/>
          <w:szCs w:val="20"/>
        </w:rPr>
        <w:t xml:space="preserve"> Prezydent Miasta Elbląg może odwołać ogłoszony przetarg jedynie z ważnych powodów, niezwłocznie podając informację o odwołaniu przetargu do publicznej wiadomości z podaniem przyczyny odwołania przetargu.</w:t>
      </w:r>
    </w:p>
    <w:sectPr w:rsidR="00060965" w:rsidRPr="00A65561" w:rsidSect="00857282">
      <w:footerReference w:type="default" r:id="rId14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E4D2A" w14:textId="77777777" w:rsidR="005E4329" w:rsidRDefault="005E4329" w:rsidP="00D757E9">
      <w:r>
        <w:separator/>
      </w:r>
    </w:p>
  </w:endnote>
  <w:endnote w:type="continuationSeparator" w:id="0">
    <w:p w14:paraId="2CFE8F96" w14:textId="77777777" w:rsidR="005E4329" w:rsidRDefault="005E4329" w:rsidP="00D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F6B08" w14:textId="77777777" w:rsidR="00D757E9" w:rsidRPr="00D757E9" w:rsidRDefault="00D757E9" w:rsidP="00D757E9">
    <w:pPr>
      <w:pStyle w:val="Stopka"/>
      <w:jc w:val="right"/>
      <w:rPr>
        <w:sz w:val="14"/>
        <w:szCs w:val="14"/>
      </w:rPr>
    </w:pPr>
    <w:r w:rsidRPr="00D757E9">
      <w:rPr>
        <w:sz w:val="14"/>
        <w:szCs w:val="14"/>
      </w:rPr>
      <w:fldChar w:fldCharType="begin"/>
    </w:r>
    <w:r w:rsidRPr="00D757E9">
      <w:rPr>
        <w:sz w:val="14"/>
        <w:szCs w:val="14"/>
      </w:rPr>
      <w:instrText>PAGE   \* MERGEFORMAT</w:instrText>
    </w:r>
    <w:r w:rsidRPr="00D757E9">
      <w:rPr>
        <w:sz w:val="14"/>
        <w:szCs w:val="14"/>
      </w:rPr>
      <w:fldChar w:fldCharType="separate"/>
    </w:r>
    <w:r w:rsidR="009E24C2">
      <w:rPr>
        <w:noProof/>
        <w:sz w:val="14"/>
        <w:szCs w:val="14"/>
      </w:rPr>
      <w:t>2</w:t>
    </w:r>
    <w:r w:rsidRPr="00D757E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B1ED" w14:textId="77777777" w:rsidR="005E4329" w:rsidRDefault="005E4329" w:rsidP="00D757E9">
      <w:r>
        <w:separator/>
      </w:r>
    </w:p>
  </w:footnote>
  <w:footnote w:type="continuationSeparator" w:id="0">
    <w:p w14:paraId="3D798DF7" w14:textId="77777777" w:rsidR="005E4329" w:rsidRDefault="005E4329" w:rsidP="00D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11A2DCC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72AF38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18"/>
        </w:tabs>
        <w:ind w:left="1118" w:hanging="360"/>
      </w:p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lef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left"/>
      <w:pPr>
        <w:tabs>
          <w:tab w:val="num" w:pos="6158"/>
        </w:tabs>
        <w:ind w:left="6158" w:hanging="18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lef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left"/>
      <w:pPr>
        <w:tabs>
          <w:tab w:val="num" w:pos="6158"/>
        </w:tabs>
        <w:ind w:left="6158" w:hanging="180"/>
      </w:pPr>
    </w:lvl>
  </w:abstractNum>
  <w:abstractNum w:abstractNumId="5" w15:restartNumberingAfterBreak="0">
    <w:nsid w:val="00014887"/>
    <w:multiLevelType w:val="hybridMultilevel"/>
    <w:tmpl w:val="5A4EF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14F47"/>
    <w:multiLevelType w:val="hybridMultilevel"/>
    <w:tmpl w:val="14AC5488"/>
    <w:lvl w:ilvl="0" w:tplc="8406533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1B41B4"/>
    <w:multiLevelType w:val="hybridMultilevel"/>
    <w:tmpl w:val="155A8218"/>
    <w:lvl w:ilvl="0" w:tplc="E5C09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8" w15:restartNumberingAfterBreak="0">
    <w:nsid w:val="3A8E098E"/>
    <w:multiLevelType w:val="hybridMultilevel"/>
    <w:tmpl w:val="019AAD54"/>
    <w:lvl w:ilvl="0" w:tplc="08226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2A97"/>
    <w:multiLevelType w:val="hybridMultilevel"/>
    <w:tmpl w:val="3C2AA32C"/>
    <w:lvl w:ilvl="0" w:tplc="3164580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5F7E7F"/>
    <w:multiLevelType w:val="hybridMultilevel"/>
    <w:tmpl w:val="BDB0AEDA"/>
    <w:lvl w:ilvl="0" w:tplc="93EEB538">
      <w:start w:val="1"/>
      <w:numFmt w:val="decimal"/>
      <w:lvlText w:val="%1."/>
      <w:lvlJc w:val="left"/>
      <w:pPr>
        <w:tabs>
          <w:tab w:val="num" w:pos="1080"/>
        </w:tabs>
        <w:ind w:left="1077" w:hanging="397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E22A9"/>
    <w:multiLevelType w:val="hybridMultilevel"/>
    <w:tmpl w:val="B91C0A1E"/>
    <w:lvl w:ilvl="0" w:tplc="1A72CC70">
      <w:start w:val="1"/>
      <w:numFmt w:val="decimal"/>
      <w:lvlText w:val="%1."/>
      <w:lvlJc w:val="left"/>
      <w:pPr>
        <w:tabs>
          <w:tab w:val="num" w:pos="400"/>
        </w:tabs>
        <w:ind w:left="397" w:hanging="397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15A72"/>
    <w:multiLevelType w:val="hybridMultilevel"/>
    <w:tmpl w:val="24FE7B66"/>
    <w:lvl w:ilvl="0" w:tplc="3164580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"/>
        </w:tabs>
        <w:ind w:left="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</w:abstractNum>
  <w:abstractNum w:abstractNumId="13" w15:restartNumberingAfterBreak="0">
    <w:nsid w:val="4CDB368A"/>
    <w:multiLevelType w:val="hybridMultilevel"/>
    <w:tmpl w:val="155A8218"/>
    <w:lvl w:ilvl="0" w:tplc="E5C09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4" w15:restartNumberingAfterBreak="0">
    <w:nsid w:val="50EE7DB8"/>
    <w:multiLevelType w:val="multilevel"/>
    <w:tmpl w:val="155A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5" w15:restartNumberingAfterBreak="0">
    <w:nsid w:val="55E57D5F"/>
    <w:multiLevelType w:val="hybridMultilevel"/>
    <w:tmpl w:val="EB664666"/>
    <w:lvl w:ilvl="0" w:tplc="D5EE8B9E">
      <w:start w:val="1"/>
      <w:numFmt w:val="decimal"/>
      <w:lvlText w:val="%1."/>
      <w:lvlJc w:val="left"/>
      <w:pPr>
        <w:tabs>
          <w:tab w:val="num" w:pos="1080"/>
        </w:tabs>
        <w:ind w:left="1077" w:hanging="397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B7C49"/>
    <w:multiLevelType w:val="hybridMultilevel"/>
    <w:tmpl w:val="CAB40F42"/>
    <w:lvl w:ilvl="0" w:tplc="1A7A34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33924"/>
    <w:multiLevelType w:val="hybridMultilevel"/>
    <w:tmpl w:val="ACF608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03C4D"/>
    <w:multiLevelType w:val="hybridMultilevel"/>
    <w:tmpl w:val="5CB02B18"/>
    <w:lvl w:ilvl="0" w:tplc="14D0F12E">
      <w:start w:val="2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4420F972">
      <w:start w:val="3"/>
      <w:numFmt w:val="lowerLetter"/>
      <w:lvlText w:val="%2)"/>
      <w:lvlJc w:val="left"/>
      <w:pPr>
        <w:tabs>
          <w:tab w:val="num" w:pos="1118"/>
        </w:tabs>
        <w:ind w:left="1118" w:hanging="360"/>
      </w:pPr>
      <w:rPr>
        <w:rFonts w:hint="default"/>
      </w:rPr>
    </w:lvl>
    <w:lvl w:ilvl="2" w:tplc="3164580A">
      <w:start w:val="1"/>
      <w:numFmt w:val="bullet"/>
      <w:lvlText w:val="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9" w15:restartNumberingAfterBreak="0">
    <w:nsid w:val="766E211B"/>
    <w:multiLevelType w:val="hybridMultilevel"/>
    <w:tmpl w:val="139A821E"/>
    <w:lvl w:ilvl="0" w:tplc="6D26C3C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282962"/>
    <w:multiLevelType w:val="hybridMultilevel"/>
    <w:tmpl w:val="930CA0AA"/>
    <w:lvl w:ilvl="0" w:tplc="6D26C3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50763">
    <w:abstractNumId w:val="7"/>
  </w:num>
  <w:num w:numId="2" w16cid:durableId="1595480017">
    <w:abstractNumId w:val="18"/>
  </w:num>
  <w:num w:numId="3" w16cid:durableId="421493918">
    <w:abstractNumId w:val="5"/>
  </w:num>
  <w:num w:numId="4" w16cid:durableId="1644656658">
    <w:abstractNumId w:val="15"/>
  </w:num>
  <w:num w:numId="5" w16cid:durableId="1883906519">
    <w:abstractNumId w:val="14"/>
  </w:num>
  <w:num w:numId="6" w16cid:durableId="324942529">
    <w:abstractNumId w:val="11"/>
  </w:num>
  <w:num w:numId="7" w16cid:durableId="127212607">
    <w:abstractNumId w:val="13"/>
  </w:num>
  <w:num w:numId="8" w16cid:durableId="60643259">
    <w:abstractNumId w:val="17"/>
  </w:num>
  <w:num w:numId="9" w16cid:durableId="892619973">
    <w:abstractNumId w:val="8"/>
  </w:num>
  <w:num w:numId="10" w16cid:durableId="710306554">
    <w:abstractNumId w:val="10"/>
  </w:num>
  <w:num w:numId="11" w16cid:durableId="1886403056">
    <w:abstractNumId w:val="1"/>
  </w:num>
  <w:num w:numId="12" w16cid:durableId="1449395461">
    <w:abstractNumId w:val="0"/>
  </w:num>
  <w:num w:numId="13" w16cid:durableId="1415785342">
    <w:abstractNumId w:val="19"/>
  </w:num>
  <w:num w:numId="14" w16cid:durableId="1096293302">
    <w:abstractNumId w:val="20"/>
  </w:num>
  <w:num w:numId="15" w16cid:durableId="2048748275">
    <w:abstractNumId w:val="12"/>
  </w:num>
  <w:num w:numId="16" w16cid:durableId="453250340">
    <w:abstractNumId w:val="9"/>
  </w:num>
  <w:num w:numId="17" w16cid:durableId="22097195">
    <w:abstractNumId w:val="3"/>
  </w:num>
  <w:num w:numId="18" w16cid:durableId="88856862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5069205">
    <w:abstractNumId w:val="12"/>
  </w:num>
  <w:num w:numId="20" w16cid:durableId="623772365">
    <w:abstractNumId w:val="2"/>
  </w:num>
  <w:num w:numId="21" w16cid:durableId="919798837">
    <w:abstractNumId w:val="16"/>
  </w:num>
  <w:num w:numId="22" w16cid:durableId="303851912">
    <w:abstractNumId w:val="4"/>
  </w:num>
  <w:num w:numId="23" w16cid:durableId="1946963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58C"/>
    <w:rsid w:val="00001AD3"/>
    <w:rsid w:val="00010D25"/>
    <w:rsid w:val="0001689A"/>
    <w:rsid w:val="0001690C"/>
    <w:rsid w:val="00016BCC"/>
    <w:rsid w:val="00033BE6"/>
    <w:rsid w:val="000512C7"/>
    <w:rsid w:val="00051823"/>
    <w:rsid w:val="00054B34"/>
    <w:rsid w:val="00055C9A"/>
    <w:rsid w:val="00060965"/>
    <w:rsid w:val="00060DDD"/>
    <w:rsid w:val="00063178"/>
    <w:rsid w:val="000678D0"/>
    <w:rsid w:val="00067FD9"/>
    <w:rsid w:val="000710E8"/>
    <w:rsid w:val="00073862"/>
    <w:rsid w:val="00076EAF"/>
    <w:rsid w:val="0008370D"/>
    <w:rsid w:val="000846FA"/>
    <w:rsid w:val="00084F5F"/>
    <w:rsid w:val="00086F63"/>
    <w:rsid w:val="00087B83"/>
    <w:rsid w:val="00097C32"/>
    <w:rsid w:val="000C3AE8"/>
    <w:rsid w:val="000E5918"/>
    <w:rsid w:val="000E7B40"/>
    <w:rsid w:val="000F63F5"/>
    <w:rsid w:val="000F6F57"/>
    <w:rsid w:val="00106053"/>
    <w:rsid w:val="00106553"/>
    <w:rsid w:val="00114151"/>
    <w:rsid w:val="00115B03"/>
    <w:rsid w:val="001238E2"/>
    <w:rsid w:val="00147B1E"/>
    <w:rsid w:val="00155385"/>
    <w:rsid w:val="00161260"/>
    <w:rsid w:val="00161B9B"/>
    <w:rsid w:val="001667BE"/>
    <w:rsid w:val="00182399"/>
    <w:rsid w:val="001A4406"/>
    <w:rsid w:val="001B08A2"/>
    <w:rsid w:val="001B199A"/>
    <w:rsid w:val="001D47C2"/>
    <w:rsid w:val="001D6F6C"/>
    <w:rsid w:val="001E2A94"/>
    <w:rsid w:val="001F631B"/>
    <w:rsid w:val="00203DC6"/>
    <w:rsid w:val="00207A5A"/>
    <w:rsid w:val="002136F7"/>
    <w:rsid w:val="00252564"/>
    <w:rsid w:val="00261FCB"/>
    <w:rsid w:val="002700C9"/>
    <w:rsid w:val="00271DC2"/>
    <w:rsid w:val="00276E0B"/>
    <w:rsid w:val="00277707"/>
    <w:rsid w:val="0028592B"/>
    <w:rsid w:val="00291349"/>
    <w:rsid w:val="0029196B"/>
    <w:rsid w:val="0029788A"/>
    <w:rsid w:val="002A3D14"/>
    <w:rsid w:val="002A6946"/>
    <w:rsid w:val="002A7E7F"/>
    <w:rsid w:val="002B04F6"/>
    <w:rsid w:val="002B058C"/>
    <w:rsid w:val="002B28DE"/>
    <w:rsid w:val="002B58DC"/>
    <w:rsid w:val="002C4E55"/>
    <w:rsid w:val="002D15FF"/>
    <w:rsid w:val="002D169D"/>
    <w:rsid w:val="002D484D"/>
    <w:rsid w:val="002E316B"/>
    <w:rsid w:val="002E7879"/>
    <w:rsid w:val="002F07D7"/>
    <w:rsid w:val="002F678A"/>
    <w:rsid w:val="002F6F15"/>
    <w:rsid w:val="00307D0D"/>
    <w:rsid w:val="00314F9D"/>
    <w:rsid w:val="003259C9"/>
    <w:rsid w:val="003261C8"/>
    <w:rsid w:val="00330A6C"/>
    <w:rsid w:val="00331430"/>
    <w:rsid w:val="00334BAF"/>
    <w:rsid w:val="00342FB0"/>
    <w:rsid w:val="00354A6E"/>
    <w:rsid w:val="00360F4E"/>
    <w:rsid w:val="0036158D"/>
    <w:rsid w:val="003615FE"/>
    <w:rsid w:val="00361A1D"/>
    <w:rsid w:val="003635EC"/>
    <w:rsid w:val="00364052"/>
    <w:rsid w:val="0036435F"/>
    <w:rsid w:val="00364695"/>
    <w:rsid w:val="00367AF2"/>
    <w:rsid w:val="00381298"/>
    <w:rsid w:val="00393E63"/>
    <w:rsid w:val="003A2C89"/>
    <w:rsid w:val="003A7D62"/>
    <w:rsid w:val="003B6C23"/>
    <w:rsid w:val="003B7E4E"/>
    <w:rsid w:val="003C4B64"/>
    <w:rsid w:val="003D7F80"/>
    <w:rsid w:val="003E5F1F"/>
    <w:rsid w:val="003E5FB7"/>
    <w:rsid w:val="00403F36"/>
    <w:rsid w:val="00416C17"/>
    <w:rsid w:val="00424309"/>
    <w:rsid w:val="00425454"/>
    <w:rsid w:val="00425A13"/>
    <w:rsid w:val="00435B1C"/>
    <w:rsid w:val="00456412"/>
    <w:rsid w:val="00462862"/>
    <w:rsid w:val="00463D2F"/>
    <w:rsid w:val="00467A27"/>
    <w:rsid w:val="00475A17"/>
    <w:rsid w:val="00476F44"/>
    <w:rsid w:val="00484131"/>
    <w:rsid w:val="00485294"/>
    <w:rsid w:val="004901FA"/>
    <w:rsid w:val="00490331"/>
    <w:rsid w:val="00495460"/>
    <w:rsid w:val="004B6277"/>
    <w:rsid w:val="004B6A08"/>
    <w:rsid w:val="004C689F"/>
    <w:rsid w:val="004D3F2D"/>
    <w:rsid w:val="00502951"/>
    <w:rsid w:val="00507F82"/>
    <w:rsid w:val="00510E7E"/>
    <w:rsid w:val="005229A0"/>
    <w:rsid w:val="00527AC3"/>
    <w:rsid w:val="005402EB"/>
    <w:rsid w:val="005453CE"/>
    <w:rsid w:val="00552C3B"/>
    <w:rsid w:val="00563FB4"/>
    <w:rsid w:val="00567245"/>
    <w:rsid w:val="0057038B"/>
    <w:rsid w:val="0057630B"/>
    <w:rsid w:val="005779A0"/>
    <w:rsid w:val="0059209D"/>
    <w:rsid w:val="00593432"/>
    <w:rsid w:val="00593B3D"/>
    <w:rsid w:val="0059555F"/>
    <w:rsid w:val="005A24DE"/>
    <w:rsid w:val="005A4696"/>
    <w:rsid w:val="005B1806"/>
    <w:rsid w:val="005B2AE5"/>
    <w:rsid w:val="005B2B65"/>
    <w:rsid w:val="005C1010"/>
    <w:rsid w:val="005D7BE4"/>
    <w:rsid w:val="005E390E"/>
    <w:rsid w:val="005E4329"/>
    <w:rsid w:val="005E76BC"/>
    <w:rsid w:val="005F31B7"/>
    <w:rsid w:val="005F4BA2"/>
    <w:rsid w:val="0060544A"/>
    <w:rsid w:val="00605B2A"/>
    <w:rsid w:val="00611239"/>
    <w:rsid w:val="00620A6A"/>
    <w:rsid w:val="00622115"/>
    <w:rsid w:val="00623630"/>
    <w:rsid w:val="00623BCD"/>
    <w:rsid w:val="0064189E"/>
    <w:rsid w:val="00651115"/>
    <w:rsid w:val="006534CE"/>
    <w:rsid w:val="006622DE"/>
    <w:rsid w:val="00667657"/>
    <w:rsid w:val="00681E5F"/>
    <w:rsid w:val="00691472"/>
    <w:rsid w:val="00693841"/>
    <w:rsid w:val="006943C7"/>
    <w:rsid w:val="006D01AB"/>
    <w:rsid w:val="006F6A81"/>
    <w:rsid w:val="006F6F0C"/>
    <w:rsid w:val="00704B5D"/>
    <w:rsid w:val="00706629"/>
    <w:rsid w:val="00714EC0"/>
    <w:rsid w:val="0071676E"/>
    <w:rsid w:val="00717F08"/>
    <w:rsid w:val="00720E5C"/>
    <w:rsid w:val="00721B02"/>
    <w:rsid w:val="00723153"/>
    <w:rsid w:val="0072469A"/>
    <w:rsid w:val="00742C41"/>
    <w:rsid w:val="007432A1"/>
    <w:rsid w:val="007516EB"/>
    <w:rsid w:val="00755062"/>
    <w:rsid w:val="00760AE1"/>
    <w:rsid w:val="00767C5F"/>
    <w:rsid w:val="00770E7A"/>
    <w:rsid w:val="00775A15"/>
    <w:rsid w:val="00777C6A"/>
    <w:rsid w:val="00783F3E"/>
    <w:rsid w:val="00786488"/>
    <w:rsid w:val="007A316F"/>
    <w:rsid w:val="007B3C4B"/>
    <w:rsid w:val="007B51C5"/>
    <w:rsid w:val="007B66D0"/>
    <w:rsid w:val="007C6EC5"/>
    <w:rsid w:val="007C7D8A"/>
    <w:rsid w:val="007D0EBB"/>
    <w:rsid w:val="007D1211"/>
    <w:rsid w:val="007D538D"/>
    <w:rsid w:val="007F1E33"/>
    <w:rsid w:val="007F43BC"/>
    <w:rsid w:val="0080559E"/>
    <w:rsid w:val="008068FC"/>
    <w:rsid w:val="008119B0"/>
    <w:rsid w:val="00813F6F"/>
    <w:rsid w:val="0081407F"/>
    <w:rsid w:val="00815DB5"/>
    <w:rsid w:val="008226E4"/>
    <w:rsid w:val="00823414"/>
    <w:rsid w:val="0082512B"/>
    <w:rsid w:val="00831902"/>
    <w:rsid w:val="00833570"/>
    <w:rsid w:val="0083501C"/>
    <w:rsid w:val="008451B5"/>
    <w:rsid w:val="008452CD"/>
    <w:rsid w:val="00846876"/>
    <w:rsid w:val="00857282"/>
    <w:rsid w:val="00866229"/>
    <w:rsid w:val="00876C12"/>
    <w:rsid w:val="0089117A"/>
    <w:rsid w:val="00897737"/>
    <w:rsid w:val="008A0F4D"/>
    <w:rsid w:val="008A53B0"/>
    <w:rsid w:val="008B349B"/>
    <w:rsid w:val="008C1989"/>
    <w:rsid w:val="008C5617"/>
    <w:rsid w:val="008C5CEA"/>
    <w:rsid w:val="008E529F"/>
    <w:rsid w:val="0090516A"/>
    <w:rsid w:val="00905436"/>
    <w:rsid w:val="00906D12"/>
    <w:rsid w:val="00913828"/>
    <w:rsid w:val="00913CBA"/>
    <w:rsid w:val="009150C9"/>
    <w:rsid w:val="0092123F"/>
    <w:rsid w:val="00921381"/>
    <w:rsid w:val="00930A8A"/>
    <w:rsid w:val="00936A0E"/>
    <w:rsid w:val="00940A5D"/>
    <w:rsid w:val="009412A5"/>
    <w:rsid w:val="00950776"/>
    <w:rsid w:val="00963264"/>
    <w:rsid w:val="0097595E"/>
    <w:rsid w:val="00976493"/>
    <w:rsid w:val="00977666"/>
    <w:rsid w:val="0098611E"/>
    <w:rsid w:val="009976D0"/>
    <w:rsid w:val="009B1180"/>
    <w:rsid w:val="009D2F8C"/>
    <w:rsid w:val="009D4429"/>
    <w:rsid w:val="009E24C2"/>
    <w:rsid w:val="009E3752"/>
    <w:rsid w:val="009F1E18"/>
    <w:rsid w:val="009F3733"/>
    <w:rsid w:val="00A03CE4"/>
    <w:rsid w:val="00A057EB"/>
    <w:rsid w:val="00A05DE4"/>
    <w:rsid w:val="00A20E85"/>
    <w:rsid w:val="00A23F19"/>
    <w:rsid w:val="00A3702F"/>
    <w:rsid w:val="00A4687C"/>
    <w:rsid w:val="00A54795"/>
    <w:rsid w:val="00A55BC0"/>
    <w:rsid w:val="00A65561"/>
    <w:rsid w:val="00A66ECD"/>
    <w:rsid w:val="00A769DD"/>
    <w:rsid w:val="00A8023C"/>
    <w:rsid w:val="00A8031A"/>
    <w:rsid w:val="00AB1195"/>
    <w:rsid w:val="00AB1326"/>
    <w:rsid w:val="00AB1C32"/>
    <w:rsid w:val="00AC69FA"/>
    <w:rsid w:val="00AD4087"/>
    <w:rsid w:val="00AF4595"/>
    <w:rsid w:val="00B06472"/>
    <w:rsid w:val="00B124F2"/>
    <w:rsid w:val="00B12D57"/>
    <w:rsid w:val="00B13A48"/>
    <w:rsid w:val="00B32269"/>
    <w:rsid w:val="00B41E42"/>
    <w:rsid w:val="00B43EE2"/>
    <w:rsid w:val="00B6274F"/>
    <w:rsid w:val="00B63D4D"/>
    <w:rsid w:val="00B64935"/>
    <w:rsid w:val="00B66360"/>
    <w:rsid w:val="00B75F20"/>
    <w:rsid w:val="00B82E58"/>
    <w:rsid w:val="00B83AEF"/>
    <w:rsid w:val="00B85FCB"/>
    <w:rsid w:val="00B90624"/>
    <w:rsid w:val="00BA3CB1"/>
    <w:rsid w:val="00BB195A"/>
    <w:rsid w:val="00BB2C75"/>
    <w:rsid w:val="00BC6D85"/>
    <w:rsid w:val="00BD24F0"/>
    <w:rsid w:val="00BE7073"/>
    <w:rsid w:val="00BF34B0"/>
    <w:rsid w:val="00C06091"/>
    <w:rsid w:val="00C074CD"/>
    <w:rsid w:val="00C1795B"/>
    <w:rsid w:val="00C40DC1"/>
    <w:rsid w:val="00C4649D"/>
    <w:rsid w:val="00C52D11"/>
    <w:rsid w:val="00C5408A"/>
    <w:rsid w:val="00C54A89"/>
    <w:rsid w:val="00C57B28"/>
    <w:rsid w:val="00C666D1"/>
    <w:rsid w:val="00C67FC0"/>
    <w:rsid w:val="00C72750"/>
    <w:rsid w:val="00C774C8"/>
    <w:rsid w:val="00C81C33"/>
    <w:rsid w:val="00C9740F"/>
    <w:rsid w:val="00CA599A"/>
    <w:rsid w:val="00CA63B1"/>
    <w:rsid w:val="00CB5356"/>
    <w:rsid w:val="00CB54BB"/>
    <w:rsid w:val="00CE0200"/>
    <w:rsid w:val="00CF33AA"/>
    <w:rsid w:val="00CF39D2"/>
    <w:rsid w:val="00D03E59"/>
    <w:rsid w:val="00D05562"/>
    <w:rsid w:val="00D1232B"/>
    <w:rsid w:val="00D13066"/>
    <w:rsid w:val="00D20B7C"/>
    <w:rsid w:val="00D3675A"/>
    <w:rsid w:val="00D414B4"/>
    <w:rsid w:val="00D4376E"/>
    <w:rsid w:val="00D465A5"/>
    <w:rsid w:val="00D50429"/>
    <w:rsid w:val="00D67B17"/>
    <w:rsid w:val="00D757E9"/>
    <w:rsid w:val="00D85768"/>
    <w:rsid w:val="00D86267"/>
    <w:rsid w:val="00D87B5C"/>
    <w:rsid w:val="00DA33BB"/>
    <w:rsid w:val="00DA523B"/>
    <w:rsid w:val="00DB6F1C"/>
    <w:rsid w:val="00DC77F6"/>
    <w:rsid w:val="00DD2747"/>
    <w:rsid w:val="00DD3D61"/>
    <w:rsid w:val="00DD7434"/>
    <w:rsid w:val="00DE36BC"/>
    <w:rsid w:val="00DE6539"/>
    <w:rsid w:val="00DE68F6"/>
    <w:rsid w:val="00E02F5E"/>
    <w:rsid w:val="00E05E29"/>
    <w:rsid w:val="00E166B7"/>
    <w:rsid w:val="00E35821"/>
    <w:rsid w:val="00E412FB"/>
    <w:rsid w:val="00E43AED"/>
    <w:rsid w:val="00E43B34"/>
    <w:rsid w:val="00E452D3"/>
    <w:rsid w:val="00E4573D"/>
    <w:rsid w:val="00E470F3"/>
    <w:rsid w:val="00E53AAF"/>
    <w:rsid w:val="00E54A5E"/>
    <w:rsid w:val="00E61A64"/>
    <w:rsid w:val="00E67AA0"/>
    <w:rsid w:val="00E70E3F"/>
    <w:rsid w:val="00EA2344"/>
    <w:rsid w:val="00EA4D93"/>
    <w:rsid w:val="00EB315C"/>
    <w:rsid w:val="00EC34F9"/>
    <w:rsid w:val="00EC72AB"/>
    <w:rsid w:val="00ED2111"/>
    <w:rsid w:val="00ED5216"/>
    <w:rsid w:val="00EE192B"/>
    <w:rsid w:val="00EE6B45"/>
    <w:rsid w:val="00EF10D7"/>
    <w:rsid w:val="00F01FE9"/>
    <w:rsid w:val="00F239B6"/>
    <w:rsid w:val="00F30464"/>
    <w:rsid w:val="00F40C82"/>
    <w:rsid w:val="00F52235"/>
    <w:rsid w:val="00F52D15"/>
    <w:rsid w:val="00F53DFA"/>
    <w:rsid w:val="00F56C7A"/>
    <w:rsid w:val="00F57A03"/>
    <w:rsid w:val="00F71A99"/>
    <w:rsid w:val="00F74520"/>
    <w:rsid w:val="00F86507"/>
    <w:rsid w:val="00F96364"/>
    <w:rsid w:val="00FA468D"/>
    <w:rsid w:val="00FA479D"/>
    <w:rsid w:val="00FA4B77"/>
    <w:rsid w:val="00FC0F21"/>
    <w:rsid w:val="00FE06F1"/>
    <w:rsid w:val="4A29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C98D2"/>
  <w15:docId w15:val="{09F5765D-098D-4272-A38A-DFADBA28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C9"/>
    <w:rPr>
      <w:rFonts w:ascii="Tahoma" w:hAnsi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5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50C9"/>
    <w:rPr>
      <w:color w:val="0000FF"/>
      <w:u w:val="single"/>
    </w:rPr>
  </w:style>
  <w:style w:type="table" w:styleId="Tabela-Siatka">
    <w:name w:val="Table Grid"/>
    <w:basedOn w:val="Standardowy"/>
    <w:rsid w:val="0089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zartekstu">
    <w:name w:val="Obszar tekstu"/>
    <w:basedOn w:val="Normalny"/>
    <w:rsid w:val="00897737"/>
    <w:pPr>
      <w:widowControl w:val="0"/>
      <w:autoSpaceDN w:val="0"/>
      <w:adjustRightInd w:val="0"/>
      <w:spacing w:after="240"/>
      <w:jc w:val="both"/>
    </w:pPr>
    <w:rPr>
      <w:rFonts w:ascii="Times New Roman" w:hAnsi="Times New Roman" w:cs="Arial Unicode MS"/>
    </w:rPr>
  </w:style>
  <w:style w:type="paragraph" w:styleId="Tekstpodstawowy">
    <w:name w:val="Body Text"/>
    <w:basedOn w:val="Normalny"/>
    <w:link w:val="TekstpodstawowyZnak"/>
    <w:rsid w:val="0028592B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sz w:val="28"/>
      <w:szCs w:val="20"/>
      <w:lang w:eastAsia="ja-JP"/>
    </w:rPr>
  </w:style>
  <w:style w:type="character" w:customStyle="1" w:styleId="TekstpodstawowyZnak">
    <w:name w:val="Tekst podstawowy Znak"/>
    <w:link w:val="Tekstpodstawowy"/>
    <w:rsid w:val="002E316B"/>
    <w:rPr>
      <w:sz w:val="28"/>
      <w:lang w:eastAsia="ja-JP"/>
    </w:rPr>
  </w:style>
  <w:style w:type="character" w:customStyle="1" w:styleId="Nagwek1Znak">
    <w:name w:val="Nagłówek 1 Znak"/>
    <w:link w:val="Nagwek1"/>
    <w:uiPriority w:val="9"/>
    <w:rsid w:val="002D15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2D15F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D15FF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2D15FF"/>
    <w:pPr>
      <w:numPr>
        <w:numId w:val="1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2D15FF"/>
    <w:pPr>
      <w:numPr>
        <w:numId w:val="1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D15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D15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15F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D15FF"/>
    <w:rPr>
      <w:rFonts w:ascii="Tahoma" w:hAnsi="Tahoma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D15FF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D15FF"/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70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192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75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57E9"/>
    <w:rPr>
      <w:rFonts w:ascii="Tahoma" w:hAnsi="Tahom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5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57E9"/>
    <w:rPr>
      <w:rFonts w:ascii="Tahoma" w:hAnsi="Tahom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lblag.pl" TargetMode="External"/><Relationship Id="rId13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rm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elblag.eu/artykul/313/3528/042-mpzp-strefy-aktywnosci-w-rejonie-nowej-trasy-mostowej-i-ulicy-radomski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gnig@umelbla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elblag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F5A5D-1CFD-4428-9B92-DDD34492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ELBLĄG</vt:lpstr>
    </vt:vector>
  </TitlesOfParts>
  <Company>ATC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ELBLĄG</dc:title>
  <dc:creator>w</dc:creator>
  <cp:lastModifiedBy>Katarzyna Zaborowska</cp:lastModifiedBy>
  <cp:revision>26</cp:revision>
  <cp:lastPrinted>2021-12-20T12:16:00Z</cp:lastPrinted>
  <dcterms:created xsi:type="dcterms:W3CDTF">2020-04-29T13:06:00Z</dcterms:created>
  <dcterms:modified xsi:type="dcterms:W3CDTF">2024-07-16T09:29:00Z</dcterms:modified>
</cp:coreProperties>
</file>