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07810" w14:textId="77777777" w:rsidR="00D80A0F" w:rsidRPr="002F678A" w:rsidRDefault="00D80A0F" w:rsidP="00D80A0F">
      <w:pPr>
        <w:autoSpaceDE w:val="0"/>
        <w:autoSpaceDN w:val="0"/>
        <w:adjustRightInd w:val="0"/>
        <w:jc w:val="center"/>
        <w:rPr>
          <w:rFonts w:cs="Tahoma"/>
          <w:b/>
        </w:rPr>
      </w:pPr>
      <w:r w:rsidRPr="002F678A">
        <w:rPr>
          <w:rFonts w:cs="Tahoma"/>
          <w:b/>
        </w:rPr>
        <w:t>PREZYDENT MIASTA ELBLĄG</w:t>
      </w:r>
    </w:p>
    <w:p w14:paraId="05CADB41" w14:textId="750EAD6E" w:rsidR="00D80A0F" w:rsidRPr="00E56B2D" w:rsidRDefault="00D80A0F" w:rsidP="00E56B2D">
      <w:pPr>
        <w:autoSpaceDE w:val="0"/>
        <w:autoSpaceDN w:val="0"/>
        <w:adjustRightInd w:val="0"/>
        <w:spacing w:line="276" w:lineRule="auto"/>
        <w:jc w:val="center"/>
        <w:rPr>
          <w:rFonts w:cs="Tahoma"/>
          <w:sz w:val="20"/>
          <w:szCs w:val="20"/>
        </w:rPr>
      </w:pPr>
      <w:r w:rsidRPr="00E56B2D">
        <w:rPr>
          <w:rFonts w:cs="Tahoma"/>
          <w:sz w:val="20"/>
          <w:szCs w:val="20"/>
        </w:rPr>
        <w:t>ogłasza</w:t>
      </w:r>
      <w:r w:rsidR="00B577B7" w:rsidRPr="00E56B2D">
        <w:rPr>
          <w:rFonts w:cs="Tahoma"/>
          <w:sz w:val="20"/>
          <w:szCs w:val="20"/>
        </w:rPr>
        <w:t xml:space="preserve"> </w:t>
      </w:r>
      <w:r w:rsidR="007E69A8">
        <w:rPr>
          <w:rFonts w:cs="Tahoma"/>
          <w:sz w:val="20"/>
          <w:szCs w:val="20"/>
        </w:rPr>
        <w:t>trzeci</w:t>
      </w:r>
      <w:r w:rsidRPr="00E56B2D">
        <w:rPr>
          <w:rFonts w:cs="Tahoma"/>
          <w:sz w:val="20"/>
          <w:szCs w:val="20"/>
        </w:rPr>
        <w:t xml:space="preserve"> ustny przetarg nieograniczony na sprzedaż nieruchomości</w:t>
      </w:r>
    </w:p>
    <w:p w14:paraId="5249ED22" w14:textId="77777777" w:rsidR="00D80A0F" w:rsidRPr="00E56B2D" w:rsidRDefault="00D80A0F" w:rsidP="00E56B2D">
      <w:pPr>
        <w:autoSpaceDE w:val="0"/>
        <w:autoSpaceDN w:val="0"/>
        <w:adjustRightInd w:val="0"/>
        <w:spacing w:line="276" w:lineRule="auto"/>
        <w:jc w:val="center"/>
        <w:rPr>
          <w:rFonts w:cs="Tahoma"/>
          <w:sz w:val="20"/>
          <w:szCs w:val="20"/>
        </w:rPr>
      </w:pPr>
      <w:r w:rsidRPr="00E56B2D">
        <w:rPr>
          <w:rFonts w:cs="Tahoma"/>
          <w:sz w:val="20"/>
          <w:szCs w:val="20"/>
        </w:rPr>
        <w:t>stanowiącej własność Gminy Miasto Elbląg</w:t>
      </w:r>
    </w:p>
    <w:p w14:paraId="791B04BE" w14:textId="5A37B2D4" w:rsidR="00D80A0F" w:rsidRPr="00E56B2D" w:rsidRDefault="00D80A0F" w:rsidP="00E56B2D">
      <w:pPr>
        <w:autoSpaceDE w:val="0"/>
        <w:autoSpaceDN w:val="0"/>
        <w:adjustRightInd w:val="0"/>
        <w:spacing w:line="276" w:lineRule="auto"/>
        <w:jc w:val="center"/>
        <w:rPr>
          <w:rFonts w:cs="Tahoma"/>
          <w:sz w:val="20"/>
          <w:szCs w:val="20"/>
        </w:rPr>
      </w:pPr>
      <w:r w:rsidRPr="00E56B2D">
        <w:rPr>
          <w:rFonts w:cs="Tahoma"/>
          <w:sz w:val="20"/>
          <w:szCs w:val="20"/>
        </w:rPr>
        <w:t xml:space="preserve">(strona internetowa: </w:t>
      </w:r>
      <w:hyperlink r:id="rId5" w:history="1">
        <w:r w:rsidRPr="00E56B2D">
          <w:rPr>
            <w:rStyle w:val="Hipercze"/>
            <w:rFonts w:cs="Tahoma"/>
            <w:sz w:val="20"/>
            <w:szCs w:val="20"/>
          </w:rPr>
          <w:t>www.umelblag.pl</w:t>
        </w:r>
      </w:hyperlink>
      <w:r w:rsidRPr="00E56B2D">
        <w:rPr>
          <w:rFonts w:cs="Tahoma"/>
          <w:sz w:val="20"/>
          <w:szCs w:val="20"/>
        </w:rPr>
        <w:t xml:space="preserve"> BIP – </w:t>
      </w:r>
      <w:hyperlink r:id="rId6" w:history="1">
        <w:r w:rsidR="000D0D77" w:rsidRPr="000D0D77">
          <w:rPr>
            <w:rStyle w:val="Hipercze"/>
            <w:sz w:val="20"/>
            <w:szCs w:val="20"/>
          </w:rPr>
          <w:t>https://bip.elblag.eu/</w:t>
        </w:r>
      </w:hyperlink>
      <w:r w:rsidRPr="00882A7A">
        <w:rPr>
          <w:rFonts w:cs="Tahoma"/>
          <w:sz w:val="20"/>
          <w:szCs w:val="20"/>
        </w:rPr>
        <w:t>)</w:t>
      </w:r>
    </w:p>
    <w:p w14:paraId="1C91F399" w14:textId="77777777" w:rsidR="00D80A0F" w:rsidRPr="00E56B2D" w:rsidRDefault="00D80A0F" w:rsidP="00E56B2D">
      <w:pPr>
        <w:autoSpaceDE w:val="0"/>
        <w:autoSpaceDN w:val="0"/>
        <w:adjustRightInd w:val="0"/>
        <w:jc w:val="center"/>
        <w:rPr>
          <w:rFonts w:cs="Tahoma"/>
          <w:sz w:val="20"/>
          <w:szCs w:val="20"/>
        </w:rPr>
      </w:pPr>
      <w:r w:rsidRPr="00E56B2D">
        <w:rPr>
          <w:rFonts w:cs="Tahoma"/>
          <w:sz w:val="20"/>
          <w:szCs w:val="20"/>
        </w:rPr>
        <w:t xml:space="preserve">(tel. kontaktowy 55-239-31-41, 55-239-34-51, fax 55-239-31-80, </w:t>
      </w:r>
      <w:hyperlink r:id="rId7" w:history="1">
        <w:r w:rsidRPr="00E56B2D">
          <w:rPr>
            <w:rStyle w:val="Hipercze"/>
            <w:rFonts w:cs="Tahoma"/>
            <w:sz w:val="20"/>
            <w:szCs w:val="20"/>
          </w:rPr>
          <w:t>dgnig@umelblag.pl</w:t>
        </w:r>
      </w:hyperlink>
      <w:r w:rsidRPr="00E56B2D">
        <w:rPr>
          <w:rFonts w:cs="Tahoma"/>
          <w:sz w:val="20"/>
          <w:szCs w:val="20"/>
        </w:rPr>
        <w:t>)</w:t>
      </w:r>
    </w:p>
    <w:p w14:paraId="263AF0C0" w14:textId="77777777" w:rsidR="00D80A0F" w:rsidRPr="00E56B2D" w:rsidRDefault="00D80A0F" w:rsidP="00E56B2D">
      <w:pPr>
        <w:autoSpaceDE w:val="0"/>
        <w:autoSpaceDN w:val="0"/>
        <w:adjustRightInd w:val="0"/>
        <w:spacing w:line="276" w:lineRule="auto"/>
        <w:jc w:val="both"/>
        <w:rPr>
          <w:rFonts w:cs="Tahoma"/>
          <w:sz w:val="20"/>
          <w:szCs w:val="20"/>
        </w:rPr>
      </w:pPr>
    </w:p>
    <w:p w14:paraId="3E32CA1F" w14:textId="77777777" w:rsidR="00D80A0F" w:rsidRPr="00E56B2D" w:rsidRDefault="00D80A0F" w:rsidP="00E56B2D">
      <w:pPr>
        <w:tabs>
          <w:tab w:val="num" w:pos="540"/>
        </w:tabs>
        <w:autoSpaceDE w:val="0"/>
        <w:autoSpaceDN w:val="0"/>
        <w:adjustRightInd w:val="0"/>
        <w:spacing w:line="276" w:lineRule="auto"/>
        <w:ind w:left="38"/>
        <w:jc w:val="both"/>
        <w:rPr>
          <w:rFonts w:cs="Tahoma"/>
          <w:b/>
          <w:sz w:val="20"/>
          <w:szCs w:val="20"/>
        </w:rPr>
      </w:pPr>
    </w:p>
    <w:p w14:paraId="3D80CEF8" w14:textId="77777777" w:rsidR="00D80A0F" w:rsidRPr="00E56B2D" w:rsidRDefault="00D80A0F" w:rsidP="00E56B2D">
      <w:pPr>
        <w:numPr>
          <w:ilvl w:val="0"/>
          <w:numId w:val="1"/>
        </w:numPr>
        <w:autoSpaceDE w:val="0"/>
        <w:autoSpaceDN w:val="0"/>
        <w:adjustRightInd w:val="0"/>
        <w:ind w:hanging="322"/>
        <w:jc w:val="both"/>
        <w:rPr>
          <w:rFonts w:cs="Tahoma"/>
          <w:sz w:val="20"/>
          <w:szCs w:val="20"/>
        </w:rPr>
      </w:pPr>
      <w:r w:rsidRPr="00E56B2D">
        <w:rPr>
          <w:rFonts w:cs="Tahoma"/>
          <w:b/>
          <w:sz w:val="20"/>
          <w:szCs w:val="20"/>
        </w:rPr>
        <w:t xml:space="preserve">Lokalizacja: </w:t>
      </w:r>
      <w:r w:rsidRPr="00E56B2D">
        <w:rPr>
          <w:rFonts w:cs="Tahoma"/>
          <w:sz w:val="20"/>
          <w:szCs w:val="20"/>
        </w:rPr>
        <w:t>Elbląg, ul. Jarzębinowa 1.</w:t>
      </w:r>
    </w:p>
    <w:p w14:paraId="1190D36B" w14:textId="77777777" w:rsidR="00D80A0F" w:rsidRPr="00E56B2D" w:rsidRDefault="00D80A0F" w:rsidP="00E56B2D">
      <w:pPr>
        <w:numPr>
          <w:ilvl w:val="0"/>
          <w:numId w:val="1"/>
        </w:numPr>
        <w:autoSpaceDE w:val="0"/>
        <w:autoSpaceDN w:val="0"/>
        <w:adjustRightInd w:val="0"/>
        <w:ind w:hanging="322"/>
        <w:jc w:val="both"/>
        <w:rPr>
          <w:rFonts w:cs="Tahoma"/>
          <w:sz w:val="20"/>
          <w:szCs w:val="20"/>
        </w:rPr>
      </w:pPr>
      <w:r w:rsidRPr="00E56B2D">
        <w:rPr>
          <w:rFonts w:cs="Tahoma"/>
          <w:b/>
          <w:sz w:val="20"/>
          <w:szCs w:val="20"/>
        </w:rPr>
        <w:t>Opis nieruchomości:</w:t>
      </w:r>
      <w:r w:rsidRPr="00E56B2D">
        <w:rPr>
          <w:rFonts w:cs="Tahoma"/>
          <w:sz w:val="20"/>
          <w:szCs w:val="20"/>
        </w:rPr>
        <w:t xml:space="preserve"> nieruchomość gruntowa niezabudowana, poło</w:t>
      </w:r>
      <w:r w:rsidR="000073F7" w:rsidRPr="00E56B2D">
        <w:rPr>
          <w:rFonts w:cs="Tahoma"/>
          <w:sz w:val="20"/>
          <w:szCs w:val="20"/>
        </w:rPr>
        <w:t>żona u zbiegu ulic Jarzębinowej</w:t>
      </w:r>
      <w:r w:rsidRPr="00E56B2D">
        <w:rPr>
          <w:rFonts w:cs="Tahoma"/>
          <w:sz w:val="20"/>
          <w:szCs w:val="20"/>
        </w:rPr>
        <w:t xml:space="preserve"> i Królewieckiej</w:t>
      </w:r>
      <w:r w:rsidR="008B75D0" w:rsidRPr="00E56B2D">
        <w:rPr>
          <w:rFonts w:cs="Tahoma"/>
          <w:sz w:val="20"/>
          <w:szCs w:val="20"/>
        </w:rPr>
        <w:t>,</w:t>
      </w:r>
      <w:r w:rsidRPr="00E56B2D">
        <w:rPr>
          <w:rFonts w:cs="Tahoma"/>
          <w:sz w:val="20"/>
          <w:szCs w:val="20"/>
        </w:rPr>
        <w:t xml:space="preserve"> na terenie osiedla Dąbrowa, wśród zabudowy mieszkaniowej jednorodzinnej oraz terenów niezabudowanych</w:t>
      </w:r>
      <w:r w:rsidR="008B75D0" w:rsidRPr="00E56B2D">
        <w:rPr>
          <w:rFonts w:cs="Tahoma"/>
          <w:sz w:val="20"/>
          <w:szCs w:val="20"/>
        </w:rPr>
        <w:t>,</w:t>
      </w:r>
      <w:r w:rsidRPr="00E56B2D">
        <w:rPr>
          <w:rFonts w:cs="Tahoma"/>
          <w:sz w:val="20"/>
          <w:szCs w:val="20"/>
        </w:rPr>
        <w:t xml:space="preserve"> użytkowanych rolniczo, o obrysie </w:t>
      </w:r>
      <w:r w:rsidR="0027478F" w:rsidRPr="00E56B2D">
        <w:rPr>
          <w:rFonts w:cs="Tahoma"/>
          <w:sz w:val="20"/>
          <w:szCs w:val="20"/>
        </w:rPr>
        <w:t>zbliżonym</w:t>
      </w:r>
      <w:r w:rsidR="0027478F" w:rsidRPr="00E56B2D">
        <w:rPr>
          <w:rFonts w:cs="Tahoma"/>
          <w:sz w:val="20"/>
          <w:szCs w:val="20"/>
        </w:rPr>
        <w:br/>
        <w:t>do</w:t>
      </w:r>
      <w:r w:rsidRPr="00E56B2D">
        <w:rPr>
          <w:rFonts w:cs="Tahoma"/>
          <w:sz w:val="20"/>
          <w:szCs w:val="20"/>
        </w:rPr>
        <w:t xml:space="preserve"> rombu</w:t>
      </w:r>
      <w:r w:rsidR="008B75D0" w:rsidRPr="00E56B2D">
        <w:rPr>
          <w:rFonts w:cs="Tahoma"/>
          <w:sz w:val="20"/>
          <w:szCs w:val="20"/>
        </w:rPr>
        <w:t>,</w:t>
      </w:r>
      <w:r w:rsidR="00CC5131" w:rsidRPr="00E56B2D">
        <w:rPr>
          <w:rFonts w:cs="Tahoma"/>
          <w:sz w:val="20"/>
          <w:szCs w:val="20"/>
        </w:rPr>
        <w:t xml:space="preserve"> w granicach ze spadkiem</w:t>
      </w:r>
      <w:r w:rsidRPr="00E56B2D">
        <w:rPr>
          <w:rFonts w:cs="Tahoma"/>
          <w:sz w:val="20"/>
          <w:szCs w:val="20"/>
        </w:rPr>
        <w:t xml:space="preserve"> w kierunku północno-zachodnim. </w:t>
      </w:r>
      <w:r w:rsidR="00457021" w:rsidRPr="00E56B2D">
        <w:rPr>
          <w:rFonts w:cs="Tahoma"/>
          <w:sz w:val="20"/>
          <w:szCs w:val="20"/>
        </w:rPr>
        <w:t xml:space="preserve">Z uwagi na </w:t>
      </w:r>
      <w:r w:rsidR="0027478F" w:rsidRPr="00E56B2D">
        <w:rPr>
          <w:rFonts w:cs="Tahoma"/>
          <w:sz w:val="20"/>
          <w:szCs w:val="20"/>
        </w:rPr>
        <w:t>fakt,</w:t>
      </w:r>
      <w:r w:rsidR="0027478F" w:rsidRPr="00E56B2D">
        <w:rPr>
          <w:rFonts w:cs="Tahoma"/>
          <w:sz w:val="20"/>
          <w:szCs w:val="20"/>
        </w:rPr>
        <w:br/>
        <w:t>że</w:t>
      </w:r>
      <w:r w:rsidR="00457021" w:rsidRPr="00E56B2D">
        <w:rPr>
          <w:rFonts w:cs="Tahoma"/>
          <w:sz w:val="20"/>
          <w:szCs w:val="20"/>
        </w:rPr>
        <w:t xml:space="preserve"> przedmiotowa nie</w:t>
      </w:r>
      <w:r w:rsidR="007A30DD" w:rsidRPr="00E56B2D">
        <w:rPr>
          <w:rFonts w:cs="Tahoma"/>
          <w:sz w:val="20"/>
          <w:szCs w:val="20"/>
        </w:rPr>
        <w:t xml:space="preserve">ruchomość posiada użytki rolne </w:t>
      </w:r>
      <w:r w:rsidR="00457021" w:rsidRPr="00E56B2D">
        <w:rPr>
          <w:rFonts w:cs="Tahoma"/>
          <w:sz w:val="20"/>
          <w:szCs w:val="20"/>
        </w:rPr>
        <w:t>(</w:t>
      </w:r>
      <w:proofErr w:type="spellStart"/>
      <w:r w:rsidR="00457021" w:rsidRPr="00E56B2D">
        <w:rPr>
          <w:rFonts w:cs="Tahoma"/>
          <w:sz w:val="20"/>
          <w:szCs w:val="20"/>
        </w:rPr>
        <w:t>RIIIb</w:t>
      </w:r>
      <w:proofErr w:type="spellEnd"/>
      <w:r w:rsidR="00457021" w:rsidRPr="00E56B2D">
        <w:rPr>
          <w:rFonts w:cs="Tahoma"/>
          <w:sz w:val="20"/>
          <w:szCs w:val="20"/>
        </w:rPr>
        <w:t>), jej zagospodarowanie wymaga wyłączenia gruntów</w:t>
      </w:r>
      <w:r w:rsidR="00747F16" w:rsidRPr="00E56B2D">
        <w:rPr>
          <w:rFonts w:cs="Tahoma"/>
          <w:sz w:val="20"/>
          <w:szCs w:val="20"/>
        </w:rPr>
        <w:t xml:space="preserve"> </w:t>
      </w:r>
      <w:r w:rsidR="00457021" w:rsidRPr="00E56B2D">
        <w:rPr>
          <w:rFonts w:cs="Tahoma"/>
          <w:sz w:val="20"/>
          <w:szCs w:val="20"/>
        </w:rPr>
        <w:t>z produkcji rolnej.</w:t>
      </w:r>
    </w:p>
    <w:p w14:paraId="7C0B62BE" w14:textId="77777777" w:rsidR="00D80A0F" w:rsidRPr="00E56B2D" w:rsidRDefault="00D80A0F" w:rsidP="00E56B2D">
      <w:pPr>
        <w:numPr>
          <w:ilvl w:val="0"/>
          <w:numId w:val="1"/>
        </w:numPr>
        <w:autoSpaceDE w:val="0"/>
        <w:autoSpaceDN w:val="0"/>
        <w:adjustRightInd w:val="0"/>
        <w:ind w:hanging="322"/>
        <w:jc w:val="both"/>
        <w:rPr>
          <w:rFonts w:cs="Tahoma"/>
          <w:sz w:val="20"/>
          <w:szCs w:val="20"/>
        </w:rPr>
      </w:pPr>
      <w:r w:rsidRPr="00E56B2D">
        <w:rPr>
          <w:rFonts w:cs="Tahoma"/>
          <w:b/>
          <w:sz w:val="20"/>
          <w:szCs w:val="20"/>
        </w:rPr>
        <w:t>Oznaczenie nieruchomości wg danych z ewidencji gruntów i budynków:</w:t>
      </w:r>
      <w:r w:rsidRPr="00E56B2D">
        <w:rPr>
          <w:rFonts w:cs="Tahoma"/>
          <w:sz w:val="20"/>
          <w:szCs w:val="20"/>
        </w:rPr>
        <w:t xml:space="preserve"> obr. 29, działka nr </w:t>
      </w:r>
      <w:r w:rsidRPr="00E56B2D">
        <w:rPr>
          <w:rFonts w:cs="Tahoma"/>
          <w:b/>
          <w:sz w:val="20"/>
          <w:szCs w:val="20"/>
        </w:rPr>
        <w:t>73/2</w:t>
      </w:r>
      <w:r w:rsidRPr="00E56B2D">
        <w:rPr>
          <w:rFonts w:cs="Tahoma"/>
          <w:sz w:val="20"/>
          <w:szCs w:val="20"/>
        </w:rPr>
        <w:t xml:space="preserve"> o pow. </w:t>
      </w:r>
      <w:r w:rsidRPr="00E56B2D">
        <w:rPr>
          <w:rFonts w:cs="Tahoma"/>
          <w:b/>
          <w:sz w:val="20"/>
          <w:szCs w:val="20"/>
        </w:rPr>
        <w:t>0,1911 ha</w:t>
      </w:r>
      <w:r w:rsidRPr="00E56B2D">
        <w:rPr>
          <w:rFonts w:cs="Tahoma"/>
          <w:sz w:val="20"/>
          <w:szCs w:val="20"/>
        </w:rPr>
        <w:t>, dla której Sąd Rejonowy w Elblągu prowadzi księgę wieczystą nr EL1E/00034218/1.</w:t>
      </w:r>
    </w:p>
    <w:p w14:paraId="5BD8200A" w14:textId="741A8B45" w:rsidR="00D80A0F" w:rsidRPr="00E56B2D" w:rsidRDefault="00D80A0F" w:rsidP="00E56B2D">
      <w:pPr>
        <w:numPr>
          <w:ilvl w:val="0"/>
          <w:numId w:val="1"/>
        </w:numPr>
        <w:autoSpaceDE w:val="0"/>
        <w:autoSpaceDN w:val="0"/>
        <w:adjustRightInd w:val="0"/>
        <w:jc w:val="both"/>
        <w:rPr>
          <w:rFonts w:cs="Tahoma"/>
          <w:sz w:val="20"/>
          <w:szCs w:val="20"/>
        </w:rPr>
      </w:pPr>
      <w:r w:rsidRPr="00E56B2D">
        <w:rPr>
          <w:rFonts w:cs="Tahoma"/>
          <w:b/>
          <w:sz w:val="20"/>
          <w:szCs w:val="20"/>
        </w:rPr>
        <w:t>Przeznaczenie nieruchomości w miejscowym planie zagospodarowania przestrzennego:</w:t>
      </w:r>
      <w:r w:rsidR="00CC5131" w:rsidRPr="00E56B2D">
        <w:rPr>
          <w:rFonts w:cs="Tahoma"/>
          <w:b/>
          <w:sz w:val="20"/>
          <w:szCs w:val="20"/>
        </w:rPr>
        <w:t xml:space="preserve"> </w:t>
      </w:r>
      <w:r w:rsidR="008B75D0" w:rsidRPr="00E56B2D">
        <w:rPr>
          <w:rFonts w:cs="Tahoma"/>
          <w:sz w:val="20"/>
          <w:szCs w:val="20"/>
        </w:rPr>
        <w:t>zgodnie z uchwałą</w:t>
      </w:r>
      <w:r w:rsidRPr="00E56B2D">
        <w:rPr>
          <w:rFonts w:cs="Tahoma"/>
          <w:sz w:val="20"/>
          <w:szCs w:val="20"/>
        </w:rPr>
        <w:t xml:space="preserve"> nr IX/239/2011 Rady Miejskiej w Elblągu z dnia 27 października 2011 r. w sprawie zmiany miejscowego planu zagospodarowania przestrzennego osiedla Dąbrowa część II w Elblągu (Dz. Urz. Woj. War.-</w:t>
      </w:r>
      <w:proofErr w:type="spellStart"/>
      <w:r w:rsidRPr="00E56B2D">
        <w:rPr>
          <w:rFonts w:cs="Tahoma"/>
          <w:sz w:val="20"/>
          <w:szCs w:val="20"/>
        </w:rPr>
        <w:t>Maz</w:t>
      </w:r>
      <w:proofErr w:type="spellEnd"/>
      <w:r w:rsidRPr="00E56B2D">
        <w:rPr>
          <w:rFonts w:cs="Tahoma"/>
          <w:sz w:val="20"/>
          <w:szCs w:val="20"/>
        </w:rPr>
        <w:t>. Nr 213 poz. 2996),</w:t>
      </w:r>
      <w:r w:rsidR="00457021" w:rsidRPr="00E56B2D">
        <w:rPr>
          <w:rFonts w:cs="Tahoma"/>
          <w:sz w:val="20"/>
          <w:szCs w:val="20"/>
        </w:rPr>
        <w:t xml:space="preserve"> </w:t>
      </w:r>
      <w:r w:rsidRPr="00E56B2D">
        <w:rPr>
          <w:rFonts w:cs="Tahoma"/>
          <w:sz w:val="20"/>
          <w:szCs w:val="20"/>
        </w:rPr>
        <w:t>nieruchom</w:t>
      </w:r>
      <w:r w:rsidR="008B75D0" w:rsidRPr="00E56B2D">
        <w:rPr>
          <w:rFonts w:cs="Tahoma"/>
          <w:sz w:val="20"/>
          <w:szCs w:val="20"/>
        </w:rPr>
        <w:t>ość położona jest w jednostce 17</w:t>
      </w:r>
      <w:r w:rsidRPr="00E56B2D">
        <w:rPr>
          <w:rFonts w:cs="Tahoma"/>
          <w:sz w:val="20"/>
          <w:szCs w:val="20"/>
        </w:rPr>
        <w:t>. MNU- teren zabudowy mieszkaniowej jednorodzinnej, usługowej, mieszkaniowej jednorodzinnej z usługami. Ze szczegółowymi ustaleniami powyższego pla</w:t>
      </w:r>
      <w:r w:rsidR="00457021" w:rsidRPr="00E56B2D">
        <w:rPr>
          <w:rFonts w:cs="Tahoma"/>
          <w:sz w:val="20"/>
          <w:szCs w:val="20"/>
        </w:rPr>
        <w:t>nu można zapoznać się na</w:t>
      </w:r>
      <w:r w:rsidR="008B75D0" w:rsidRPr="00E56B2D">
        <w:rPr>
          <w:rFonts w:cs="Tahoma"/>
          <w:sz w:val="20"/>
          <w:szCs w:val="20"/>
        </w:rPr>
        <w:t xml:space="preserve"> stronie</w:t>
      </w:r>
      <w:r w:rsidR="00457021" w:rsidRPr="00E56B2D">
        <w:rPr>
          <w:rFonts w:cs="Tahoma"/>
          <w:sz w:val="20"/>
          <w:szCs w:val="20"/>
        </w:rPr>
        <w:t xml:space="preserve"> </w:t>
      </w:r>
      <w:hyperlink r:id="rId8" w:history="1">
        <w:r w:rsidR="000D0D77" w:rsidRPr="003E3C3A">
          <w:rPr>
            <w:rStyle w:val="Hipercze"/>
            <w:rFonts w:cs="Tahoma"/>
            <w:sz w:val="20"/>
            <w:szCs w:val="20"/>
          </w:rPr>
          <w:t>https://bip.elblag.eu/artykul/313/3612/075-mpzp-osiedla-dabrowa-czesc-ii</w:t>
        </w:r>
      </w:hyperlink>
      <w:r w:rsidR="000D0D77">
        <w:rPr>
          <w:rFonts w:cs="Tahoma"/>
          <w:sz w:val="20"/>
          <w:szCs w:val="20"/>
        </w:rPr>
        <w:t>.</w:t>
      </w:r>
    </w:p>
    <w:p w14:paraId="0D51F3C8" w14:textId="60BB1DC2" w:rsidR="00D80A0F" w:rsidRPr="00E56B2D" w:rsidRDefault="00D80A0F" w:rsidP="00E56B2D">
      <w:pPr>
        <w:numPr>
          <w:ilvl w:val="0"/>
          <w:numId w:val="1"/>
        </w:numPr>
        <w:autoSpaceDE w:val="0"/>
        <w:jc w:val="both"/>
        <w:rPr>
          <w:rFonts w:cs="Tahoma"/>
          <w:sz w:val="20"/>
          <w:szCs w:val="20"/>
        </w:rPr>
      </w:pPr>
      <w:r w:rsidRPr="00E56B2D">
        <w:rPr>
          <w:rFonts w:cs="Tahoma"/>
          <w:b/>
          <w:sz w:val="20"/>
          <w:szCs w:val="20"/>
        </w:rPr>
        <w:t>Uzbrojenie:</w:t>
      </w:r>
      <w:r w:rsidRPr="00E56B2D">
        <w:rPr>
          <w:rFonts w:cs="Tahoma"/>
          <w:sz w:val="20"/>
          <w:szCs w:val="20"/>
        </w:rPr>
        <w:t xml:space="preserve"> nieruchomość położona jest w obszarze uzbrojonym we wszystkie media komunalne. Przez nieruchomość przebiega sieć kanalizacji sanitarnej oraz przez południowy narożnik działki przebiega linia</w:t>
      </w:r>
      <w:r w:rsidR="0074709A">
        <w:rPr>
          <w:rFonts w:cs="Tahoma"/>
          <w:sz w:val="20"/>
          <w:szCs w:val="20"/>
        </w:rPr>
        <w:t xml:space="preserve"> energetyczna</w:t>
      </w:r>
      <w:r w:rsidRPr="00E56B2D">
        <w:rPr>
          <w:rFonts w:cs="Tahoma"/>
          <w:sz w:val="20"/>
          <w:szCs w:val="20"/>
        </w:rPr>
        <w:t xml:space="preserve"> średniego napięcia. Szczegóło</w:t>
      </w:r>
      <w:r w:rsidR="0027478F" w:rsidRPr="00E56B2D">
        <w:rPr>
          <w:rFonts w:cs="Tahoma"/>
          <w:sz w:val="20"/>
          <w:szCs w:val="20"/>
        </w:rPr>
        <w:t>we warunki techniczne włączenia</w:t>
      </w:r>
      <w:r w:rsidR="0027478F" w:rsidRPr="00E56B2D">
        <w:rPr>
          <w:rFonts w:cs="Tahoma"/>
          <w:sz w:val="20"/>
          <w:szCs w:val="20"/>
        </w:rPr>
        <w:br/>
      </w:r>
      <w:r w:rsidRPr="00E56B2D">
        <w:rPr>
          <w:rFonts w:cs="Tahoma"/>
          <w:sz w:val="20"/>
          <w:szCs w:val="20"/>
        </w:rPr>
        <w:t>do poszczególnych sieci infrastruktury technicznego uzbrojenia terenu</w:t>
      </w:r>
      <w:r w:rsidR="008B75D0" w:rsidRPr="00E56B2D">
        <w:rPr>
          <w:rFonts w:cs="Tahoma"/>
          <w:sz w:val="20"/>
          <w:szCs w:val="20"/>
        </w:rPr>
        <w:t>,</w:t>
      </w:r>
      <w:r w:rsidRPr="00E56B2D">
        <w:rPr>
          <w:rFonts w:cs="Tahoma"/>
          <w:sz w:val="20"/>
          <w:szCs w:val="20"/>
        </w:rPr>
        <w:t xml:space="preserve"> Nabywca zobowiązany będzie uzyskać u gestorów poszczególnych sieci, staraniem własnym i na własny koszt. Doprowadzenie uzbrojenia do nieruchomości i usunięcie ewentualnych kolizji z istniejącym uzbrojeniem, a także zasilenie obiektów w media</w:t>
      </w:r>
      <w:r w:rsidR="008B75D0" w:rsidRPr="00E56B2D">
        <w:rPr>
          <w:rFonts w:cs="Tahoma"/>
          <w:sz w:val="20"/>
          <w:szCs w:val="20"/>
        </w:rPr>
        <w:t>,</w:t>
      </w:r>
      <w:r w:rsidRPr="00E56B2D">
        <w:rPr>
          <w:rFonts w:cs="Tahoma"/>
          <w:sz w:val="20"/>
          <w:szCs w:val="20"/>
        </w:rPr>
        <w:t xml:space="preserve"> odbędzie się staraniem i na koszt Nabywcy, na</w:t>
      </w:r>
      <w:r w:rsidR="000D0D77">
        <w:rPr>
          <w:rFonts w:cs="Tahoma"/>
          <w:sz w:val="20"/>
          <w:szCs w:val="20"/>
        </w:rPr>
        <w:t> </w:t>
      </w:r>
      <w:r w:rsidRPr="00E56B2D">
        <w:rPr>
          <w:rFonts w:cs="Tahoma"/>
          <w:sz w:val="20"/>
          <w:szCs w:val="20"/>
        </w:rPr>
        <w:t xml:space="preserve">warunkach wskazanych przez dysponentów mediów. </w:t>
      </w:r>
    </w:p>
    <w:p w14:paraId="2AAEAB8D" w14:textId="77777777" w:rsidR="009E2D5D" w:rsidRPr="00E56B2D" w:rsidRDefault="009E2D5D" w:rsidP="00E56B2D">
      <w:pPr>
        <w:pStyle w:val="Akapitzlist"/>
        <w:autoSpaceDE w:val="0"/>
        <w:ind w:left="360" w:right="-93"/>
        <w:jc w:val="both"/>
        <w:rPr>
          <w:rFonts w:cs="Tahoma"/>
          <w:sz w:val="20"/>
          <w:szCs w:val="20"/>
        </w:rPr>
      </w:pPr>
      <w:bookmarkStart w:id="0" w:name="_Hlk144987519"/>
      <w:r w:rsidRPr="00E56B2D">
        <w:rPr>
          <w:rFonts w:cs="Tahoma"/>
          <w:iCs/>
          <w:sz w:val="20"/>
          <w:szCs w:val="20"/>
        </w:rPr>
        <w:t>Zgodnie z art. 33 ust. 2 ustawy z dnia 7 lipca 1994 r. – Prawo Budowlane, Nabywca zobowiązany będzie uzyskać stosowne uzgodnienia i oświadczania, w tym oświadczenie projektanta o istnieniu lub braku możliwości przyłączenia do miejskiej sieci ciepłowniczej, o ile nie będzie korzystał z odnawialnych źródeł ciepła</w:t>
      </w:r>
      <w:r w:rsidRPr="00E56B2D">
        <w:rPr>
          <w:rFonts w:cs="Tahoma"/>
          <w:sz w:val="20"/>
          <w:szCs w:val="20"/>
        </w:rPr>
        <w:t>. Oznacza to, że każdy Inwestor zamierzający wznieść nowy budynek, z uwzględnieniem wyjątków ustawowych, musi przed złożeniem wniosku o pozwolenie na budowę, uzyskać od przedsiębiorstwa ciepłowniczego, warunki przyłączenia do sieci ciepłowniczej. Brak takiego oświadczenia przedłożonego do wniosku o wydanie pozwolenia na budowę, potwierdzonego wydanymi warunkami przyłączenia, stanowić będzie brak formalny, uzasadniający pozostawienie bez rozpoznania wniosku o udzielenie pozwolenia na budowę.</w:t>
      </w:r>
    </w:p>
    <w:p w14:paraId="3044138D" w14:textId="0426BD8C" w:rsidR="009E2D5D" w:rsidRPr="00E56B2D" w:rsidRDefault="009E2D5D" w:rsidP="00E56B2D">
      <w:pPr>
        <w:pStyle w:val="Akapitzlist"/>
        <w:autoSpaceDE w:val="0"/>
        <w:ind w:left="360"/>
        <w:jc w:val="both"/>
        <w:rPr>
          <w:rFonts w:cs="Tahoma"/>
          <w:sz w:val="20"/>
          <w:szCs w:val="20"/>
        </w:rPr>
      </w:pPr>
      <w:r w:rsidRPr="00E56B2D">
        <w:rPr>
          <w:rFonts w:cs="Tahoma"/>
          <w:sz w:val="20"/>
          <w:szCs w:val="20"/>
        </w:rPr>
        <w:t>Informacje dotyczące istniejących sieci uzbrojenia dostępne są w Departamencie Gospodarki Nieruchomościami i Geodezji Urzędu Miejskiego w Elblągu (Miejski Ośrodek Dokumentacji Geodezyjnej i Kartograficznej, Al. Tysiąclecia 11A, pok. 12, tel. 55 237-47-11 do 55 237-47-14</w:t>
      </w:r>
      <w:bookmarkEnd w:id="0"/>
      <w:r w:rsidRPr="00E56B2D">
        <w:rPr>
          <w:rFonts w:cs="Tahoma"/>
          <w:sz w:val="20"/>
          <w:szCs w:val="20"/>
        </w:rPr>
        <w:t>).</w:t>
      </w:r>
    </w:p>
    <w:p w14:paraId="1C01F276" w14:textId="4B5F9608" w:rsidR="00D80A0F" w:rsidRPr="00E56B2D" w:rsidRDefault="00D80A0F" w:rsidP="00E56B2D">
      <w:pPr>
        <w:numPr>
          <w:ilvl w:val="0"/>
          <w:numId w:val="1"/>
        </w:numPr>
        <w:autoSpaceDE w:val="0"/>
        <w:autoSpaceDN w:val="0"/>
        <w:adjustRightInd w:val="0"/>
        <w:ind w:hanging="322"/>
        <w:jc w:val="both"/>
        <w:rPr>
          <w:rFonts w:cs="Tahoma"/>
          <w:sz w:val="20"/>
          <w:szCs w:val="20"/>
        </w:rPr>
      </w:pPr>
      <w:r w:rsidRPr="00E56B2D">
        <w:rPr>
          <w:rFonts w:cs="Tahoma"/>
          <w:b/>
          <w:sz w:val="20"/>
          <w:szCs w:val="20"/>
        </w:rPr>
        <w:t xml:space="preserve">Cena wywoławcza nieruchomości: </w:t>
      </w:r>
      <w:r w:rsidR="007E4AB4" w:rsidRPr="00E56B2D">
        <w:rPr>
          <w:rFonts w:cs="Tahoma"/>
          <w:b/>
          <w:sz w:val="20"/>
          <w:szCs w:val="20"/>
        </w:rPr>
        <w:t>1</w:t>
      </w:r>
      <w:r w:rsidR="007E69A8">
        <w:rPr>
          <w:rFonts w:cs="Tahoma"/>
          <w:b/>
          <w:sz w:val="20"/>
          <w:szCs w:val="20"/>
        </w:rPr>
        <w:t>40</w:t>
      </w:r>
      <w:r w:rsidR="00266BCC" w:rsidRPr="00E56B2D">
        <w:rPr>
          <w:rFonts w:cs="Tahoma"/>
          <w:b/>
          <w:sz w:val="20"/>
          <w:szCs w:val="20"/>
        </w:rPr>
        <w:t>.0</w:t>
      </w:r>
      <w:r w:rsidRPr="00E56B2D">
        <w:rPr>
          <w:rFonts w:cs="Tahoma"/>
          <w:b/>
          <w:sz w:val="20"/>
          <w:szCs w:val="20"/>
        </w:rPr>
        <w:t>00</w:t>
      </w:r>
      <w:r w:rsidR="00CC5131" w:rsidRPr="00E56B2D">
        <w:rPr>
          <w:rFonts w:cs="Tahoma"/>
          <w:b/>
          <w:sz w:val="20"/>
          <w:szCs w:val="20"/>
        </w:rPr>
        <w:t>,-</w:t>
      </w:r>
      <w:r w:rsidRPr="00E56B2D">
        <w:rPr>
          <w:rFonts w:cs="Tahoma"/>
          <w:sz w:val="20"/>
          <w:szCs w:val="20"/>
        </w:rPr>
        <w:t xml:space="preserve"> </w:t>
      </w:r>
      <w:r w:rsidRPr="00E56B2D">
        <w:rPr>
          <w:rFonts w:cs="Tahoma"/>
          <w:b/>
          <w:sz w:val="20"/>
          <w:szCs w:val="20"/>
        </w:rPr>
        <w:t>zł</w:t>
      </w:r>
      <w:r w:rsidRPr="00E56B2D">
        <w:rPr>
          <w:rFonts w:cs="Tahoma"/>
          <w:sz w:val="20"/>
          <w:szCs w:val="20"/>
        </w:rPr>
        <w:t xml:space="preserve"> (słownie złotych: </w:t>
      </w:r>
      <w:r w:rsidR="007E4AB4" w:rsidRPr="00E56B2D">
        <w:rPr>
          <w:rFonts w:cs="Tahoma"/>
          <w:sz w:val="20"/>
          <w:szCs w:val="20"/>
        </w:rPr>
        <w:t xml:space="preserve">sto </w:t>
      </w:r>
      <w:r w:rsidR="007E69A8">
        <w:rPr>
          <w:rFonts w:cs="Tahoma"/>
          <w:sz w:val="20"/>
          <w:szCs w:val="20"/>
        </w:rPr>
        <w:t>czterdzieści</w:t>
      </w:r>
      <w:r w:rsidR="007E4AB4" w:rsidRPr="00E56B2D">
        <w:rPr>
          <w:rFonts w:cs="Tahoma"/>
          <w:sz w:val="20"/>
          <w:szCs w:val="20"/>
        </w:rPr>
        <w:t xml:space="preserve"> </w:t>
      </w:r>
      <w:r w:rsidR="00266BCC" w:rsidRPr="00E56B2D">
        <w:rPr>
          <w:rFonts w:cs="Tahoma"/>
          <w:sz w:val="20"/>
          <w:szCs w:val="20"/>
        </w:rPr>
        <w:t>tysi</w:t>
      </w:r>
      <w:r w:rsidR="007E69A8">
        <w:rPr>
          <w:rFonts w:cs="Tahoma"/>
          <w:sz w:val="20"/>
          <w:szCs w:val="20"/>
        </w:rPr>
        <w:t>ęcy</w:t>
      </w:r>
      <w:r w:rsidRPr="00E56B2D">
        <w:rPr>
          <w:rFonts w:cs="Tahoma"/>
          <w:sz w:val="20"/>
          <w:szCs w:val="20"/>
        </w:rPr>
        <w:t>)</w:t>
      </w:r>
      <w:r w:rsidR="0074709A">
        <w:rPr>
          <w:rFonts w:cs="Tahoma"/>
          <w:sz w:val="20"/>
          <w:szCs w:val="20"/>
        </w:rPr>
        <w:t>,</w:t>
      </w:r>
      <w:r w:rsidRPr="00E56B2D">
        <w:rPr>
          <w:rFonts w:cs="Tahoma"/>
          <w:sz w:val="20"/>
          <w:szCs w:val="20"/>
        </w:rPr>
        <w:t xml:space="preserve"> </w:t>
      </w:r>
      <w:r w:rsidR="007E4AB4" w:rsidRPr="00E56B2D">
        <w:rPr>
          <w:rFonts w:cs="Tahoma"/>
          <w:sz w:val="20"/>
          <w:szCs w:val="20"/>
        </w:rPr>
        <w:t>plus podatek od</w:t>
      </w:r>
      <w:r w:rsidR="0027478F" w:rsidRPr="00E56B2D">
        <w:rPr>
          <w:rFonts w:cs="Tahoma"/>
          <w:sz w:val="20"/>
          <w:szCs w:val="20"/>
        </w:rPr>
        <w:t xml:space="preserve"> towarów i usług (VAT), zgodnie</w:t>
      </w:r>
      <w:r w:rsidR="008B75D0" w:rsidRPr="00E56B2D">
        <w:rPr>
          <w:rFonts w:cs="Tahoma"/>
          <w:sz w:val="20"/>
          <w:szCs w:val="20"/>
        </w:rPr>
        <w:t xml:space="preserve"> </w:t>
      </w:r>
      <w:r w:rsidR="007E4AB4" w:rsidRPr="00E56B2D">
        <w:rPr>
          <w:rFonts w:cs="Tahoma"/>
          <w:sz w:val="20"/>
          <w:szCs w:val="20"/>
        </w:rPr>
        <w:t>z obowiązującymi przepisami. Wylicytowaną cenę sprzedaży nieruchomości wraz z należnym VAT</w:t>
      </w:r>
      <w:r w:rsidR="008B75D0" w:rsidRPr="00E56B2D">
        <w:rPr>
          <w:rFonts w:cs="Tahoma"/>
          <w:sz w:val="20"/>
          <w:szCs w:val="20"/>
        </w:rPr>
        <w:t>,</w:t>
      </w:r>
      <w:r w:rsidR="007E4AB4" w:rsidRPr="00E56B2D">
        <w:rPr>
          <w:rFonts w:cs="Tahoma"/>
          <w:sz w:val="20"/>
          <w:szCs w:val="20"/>
        </w:rPr>
        <w:t xml:space="preserve"> należy wpłacić na konto Urzędu Miejskiego w Elblągu (któr</w:t>
      </w:r>
      <w:r w:rsidR="0027478F" w:rsidRPr="00E56B2D">
        <w:rPr>
          <w:rFonts w:cs="Tahoma"/>
          <w:sz w:val="20"/>
          <w:szCs w:val="20"/>
        </w:rPr>
        <w:t>e wskazane zostanie w protokole</w:t>
      </w:r>
      <w:r w:rsidR="008B75D0" w:rsidRPr="00E56B2D">
        <w:rPr>
          <w:rFonts w:cs="Tahoma"/>
          <w:sz w:val="20"/>
          <w:szCs w:val="20"/>
        </w:rPr>
        <w:t xml:space="preserve"> </w:t>
      </w:r>
      <w:r w:rsidR="007E4AB4" w:rsidRPr="00E56B2D">
        <w:rPr>
          <w:rFonts w:cs="Tahoma"/>
          <w:sz w:val="20"/>
          <w:szCs w:val="20"/>
        </w:rPr>
        <w:t>z przetargu), przed zawarciem umowy sprzedaży</w:t>
      </w:r>
      <w:r w:rsidRPr="00E56B2D">
        <w:rPr>
          <w:rFonts w:cs="Tahoma"/>
          <w:sz w:val="20"/>
          <w:szCs w:val="20"/>
        </w:rPr>
        <w:t>.</w:t>
      </w:r>
    </w:p>
    <w:p w14:paraId="11BF5231" w14:textId="77777777" w:rsidR="00D80A0F" w:rsidRPr="00E56B2D" w:rsidRDefault="00D80A0F" w:rsidP="00E56B2D">
      <w:pPr>
        <w:numPr>
          <w:ilvl w:val="0"/>
          <w:numId w:val="1"/>
        </w:numPr>
        <w:autoSpaceDE w:val="0"/>
        <w:jc w:val="both"/>
        <w:rPr>
          <w:rFonts w:cs="Tahoma"/>
          <w:sz w:val="20"/>
          <w:szCs w:val="20"/>
        </w:rPr>
      </w:pPr>
      <w:r w:rsidRPr="00E56B2D">
        <w:rPr>
          <w:rFonts w:cs="Tahoma"/>
          <w:b/>
          <w:sz w:val="20"/>
          <w:szCs w:val="20"/>
        </w:rPr>
        <w:t>Warunki udziału w przetargu:</w:t>
      </w:r>
      <w:r w:rsidRPr="00E56B2D">
        <w:rPr>
          <w:rFonts w:cs="Tahoma"/>
          <w:sz w:val="20"/>
          <w:szCs w:val="20"/>
        </w:rPr>
        <w:t xml:space="preserve"> w przetargu mogą uczestniczyć osoby, które wpłacą wadium, złożą oświadczenie</w:t>
      </w:r>
      <w:r w:rsidR="008B75D0" w:rsidRPr="00E56B2D">
        <w:rPr>
          <w:rFonts w:cs="Tahoma"/>
          <w:sz w:val="20"/>
          <w:szCs w:val="20"/>
        </w:rPr>
        <w:t>,</w:t>
      </w:r>
      <w:r w:rsidRPr="00E56B2D">
        <w:rPr>
          <w:rFonts w:cs="Tahoma"/>
          <w:sz w:val="20"/>
          <w:szCs w:val="20"/>
        </w:rPr>
        <w:t xml:space="preserve"> że znany jest im stan prawny i stan zagospodarowania nieruchomości</w:t>
      </w:r>
      <w:r w:rsidR="008B75D0" w:rsidRPr="00E56B2D">
        <w:rPr>
          <w:rFonts w:cs="Tahoma"/>
          <w:sz w:val="20"/>
          <w:szCs w:val="20"/>
        </w:rPr>
        <w:t>, stanowiącej</w:t>
      </w:r>
      <w:r w:rsidRPr="00E56B2D">
        <w:rPr>
          <w:rFonts w:cs="Tahoma"/>
          <w:sz w:val="20"/>
          <w:szCs w:val="20"/>
        </w:rPr>
        <w:t xml:space="preserve"> przedmiot przetargu oraz oświadczenie o zapoznaniu się z warunkami i przedmiotem przetargu oraz o przyjęciu ich bez zastrzeżeń.</w:t>
      </w:r>
    </w:p>
    <w:p w14:paraId="73C0D38D" w14:textId="1120E198" w:rsidR="00D80A0F" w:rsidRPr="00E56B2D" w:rsidRDefault="00D80A0F" w:rsidP="00E56B2D">
      <w:pPr>
        <w:numPr>
          <w:ilvl w:val="0"/>
          <w:numId w:val="1"/>
        </w:numPr>
        <w:tabs>
          <w:tab w:val="num" w:pos="644"/>
        </w:tabs>
        <w:autoSpaceDE w:val="0"/>
        <w:autoSpaceDN w:val="0"/>
        <w:adjustRightInd w:val="0"/>
        <w:ind w:hanging="322"/>
        <w:jc w:val="both"/>
        <w:rPr>
          <w:rFonts w:cs="Tahoma"/>
          <w:sz w:val="20"/>
          <w:szCs w:val="20"/>
        </w:rPr>
      </w:pPr>
      <w:r w:rsidRPr="00E56B2D">
        <w:rPr>
          <w:rFonts w:cs="Tahoma"/>
          <w:b/>
          <w:sz w:val="20"/>
          <w:szCs w:val="20"/>
        </w:rPr>
        <w:t>Termin i miejsce przeprowadzenia przetargu:</w:t>
      </w:r>
      <w:r w:rsidRPr="00E56B2D">
        <w:rPr>
          <w:rFonts w:cs="Tahoma"/>
          <w:sz w:val="20"/>
          <w:szCs w:val="20"/>
        </w:rPr>
        <w:t xml:space="preserve"> przetarg odbędzie się w dniu </w:t>
      </w:r>
      <w:r w:rsidR="007E69A8">
        <w:rPr>
          <w:rFonts w:cs="Tahoma"/>
          <w:b/>
          <w:sz w:val="20"/>
          <w:szCs w:val="20"/>
        </w:rPr>
        <w:t>19 sierpnia</w:t>
      </w:r>
      <w:r w:rsidR="0027478F" w:rsidRPr="00E56B2D">
        <w:rPr>
          <w:rFonts w:cs="Tahoma"/>
          <w:b/>
          <w:sz w:val="20"/>
          <w:szCs w:val="20"/>
        </w:rPr>
        <w:br/>
      </w:r>
      <w:r w:rsidR="005622E2" w:rsidRPr="00E56B2D">
        <w:rPr>
          <w:rFonts w:cs="Tahoma"/>
          <w:b/>
          <w:sz w:val="20"/>
          <w:szCs w:val="20"/>
        </w:rPr>
        <w:t>202</w:t>
      </w:r>
      <w:r w:rsidR="007D5AE1">
        <w:rPr>
          <w:rFonts w:cs="Tahoma"/>
          <w:b/>
          <w:sz w:val="20"/>
          <w:szCs w:val="20"/>
        </w:rPr>
        <w:t>4</w:t>
      </w:r>
      <w:r w:rsidR="009F316D" w:rsidRPr="00E56B2D">
        <w:rPr>
          <w:rFonts w:cs="Tahoma"/>
          <w:b/>
          <w:sz w:val="20"/>
          <w:szCs w:val="20"/>
        </w:rPr>
        <w:t xml:space="preserve"> </w:t>
      </w:r>
      <w:r w:rsidRPr="00E56B2D">
        <w:rPr>
          <w:rFonts w:cs="Tahoma"/>
          <w:b/>
          <w:sz w:val="20"/>
          <w:szCs w:val="20"/>
        </w:rPr>
        <w:t>r.,</w:t>
      </w:r>
      <w:r w:rsidRPr="00E56B2D">
        <w:rPr>
          <w:rFonts w:cs="Tahoma"/>
          <w:sz w:val="20"/>
          <w:szCs w:val="20"/>
        </w:rPr>
        <w:t xml:space="preserve"> o godz. </w:t>
      </w:r>
      <w:r w:rsidR="005622E2" w:rsidRPr="00E56B2D">
        <w:rPr>
          <w:rFonts w:cs="Tahoma"/>
          <w:b/>
          <w:sz w:val="20"/>
          <w:szCs w:val="20"/>
        </w:rPr>
        <w:t>1</w:t>
      </w:r>
      <w:r w:rsidR="007E69A8">
        <w:rPr>
          <w:rFonts w:cs="Tahoma"/>
          <w:b/>
          <w:sz w:val="20"/>
          <w:szCs w:val="20"/>
        </w:rPr>
        <w:t>0</w:t>
      </w:r>
      <w:r w:rsidRPr="00E56B2D">
        <w:rPr>
          <w:rFonts w:cs="Tahoma"/>
          <w:b/>
          <w:sz w:val="20"/>
          <w:szCs w:val="20"/>
          <w:u w:val="single"/>
          <w:vertAlign w:val="superscript"/>
        </w:rPr>
        <w:t>00</w:t>
      </w:r>
      <w:r w:rsidRPr="00E56B2D">
        <w:rPr>
          <w:rFonts w:cs="Tahoma"/>
          <w:sz w:val="20"/>
          <w:szCs w:val="20"/>
        </w:rPr>
        <w:t xml:space="preserve">, </w:t>
      </w:r>
      <w:r w:rsidR="009E2D5D" w:rsidRPr="00E56B2D">
        <w:rPr>
          <w:rFonts w:cs="Tahoma"/>
          <w:sz w:val="20"/>
          <w:szCs w:val="20"/>
        </w:rPr>
        <w:t xml:space="preserve">w sali nr </w:t>
      </w:r>
      <w:r w:rsidR="009E2D5D" w:rsidRPr="00E56B2D">
        <w:rPr>
          <w:rFonts w:cs="Tahoma"/>
          <w:b/>
          <w:sz w:val="20"/>
          <w:szCs w:val="20"/>
        </w:rPr>
        <w:t>300</w:t>
      </w:r>
      <w:r w:rsidR="009E2D5D" w:rsidRPr="00E56B2D">
        <w:rPr>
          <w:rFonts w:cs="Tahoma"/>
          <w:sz w:val="20"/>
          <w:szCs w:val="20"/>
        </w:rPr>
        <w:t xml:space="preserve"> Urzędu Miejskiego w Elblągu przy ul. Łączności 1</w:t>
      </w:r>
      <w:r w:rsidRPr="00E56B2D">
        <w:rPr>
          <w:rFonts w:cs="Tahoma"/>
          <w:sz w:val="20"/>
          <w:szCs w:val="20"/>
        </w:rPr>
        <w:t>.</w:t>
      </w:r>
    </w:p>
    <w:p w14:paraId="4780B970" w14:textId="5ADE9DC6" w:rsidR="00D80A0F" w:rsidRPr="00E56B2D" w:rsidRDefault="00D80A0F" w:rsidP="00E56B2D">
      <w:pPr>
        <w:numPr>
          <w:ilvl w:val="0"/>
          <w:numId w:val="1"/>
        </w:numPr>
        <w:autoSpaceDE w:val="0"/>
        <w:autoSpaceDN w:val="0"/>
        <w:adjustRightInd w:val="0"/>
        <w:jc w:val="both"/>
        <w:rPr>
          <w:rFonts w:cs="Tahoma"/>
          <w:sz w:val="20"/>
          <w:szCs w:val="20"/>
        </w:rPr>
      </w:pPr>
      <w:r w:rsidRPr="00E56B2D">
        <w:rPr>
          <w:rFonts w:cs="Tahoma"/>
          <w:b/>
          <w:sz w:val="20"/>
          <w:szCs w:val="20"/>
        </w:rPr>
        <w:t>Termin, miejsce wpłaty oraz wysokość wadium:</w:t>
      </w:r>
      <w:r w:rsidRPr="00E56B2D">
        <w:rPr>
          <w:rFonts w:cs="Tahoma"/>
          <w:sz w:val="20"/>
          <w:szCs w:val="20"/>
        </w:rPr>
        <w:t xml:space="preserve"> wadium, w wysokości </w:t>
      </w:r>
      <w:r w:rsidR="009E2D5D" w:rsidRPr="00E56B2D">
        <w:rPr>
          <w:rFonts w:cs="Tahoma"/>
          <w:b/>
          <w:sz w:val="20"/>
          <w:szCs w:val="20"/>
        </w:rPr>
        <w:t>25</w:t>
      </w:r>
      <w:r w:rsidRPr="00E56B2D">
        <w:rPr>
          <w:rFonts w:cs="Tahoma"/>
          <w:b/>
          <w:sz w:val="20"/>
          <w:szCs w:val="20"/>
        </w:rPr>
        <w:t>.000 zł</w:t>
      </w:r>
      <w:r w:rsidRPr="00E56B2D">
        <w:rPr>
          <w:rFonts w:cs="Tahoma"/>
          <w:sz w:val="20"/>
          <w:szCs w:val="20"/>
        </w:rPr>
        <w:t xml:space="preserve"> (słownie złotych: </w:t>
      </w:r>
      <w:r w:rsidR="009E2D5D" w:rsidRPr="00E56B2D">
        <w:rPr>
          <w:rFonts w:cs="Tahoma"/>
          <w:sz w:val="20"/>
          <w:szCs w:val="20"/>
        </w:rPr>
        <w:t>dwadzieścia pięć</w:t>
      </w:r>
      <w:r w:rsidRPr="00E56B2D">
        <w:rPr>
          <w:rFonts w:cs="Tahoma"/>
          <w:sz w:val="20"/>
          <w:szCs w:val="20"/>
        </w:rPr>
        <w:t xml:space="preserve"> tysięcy), </w:t>
      </w:r>
      <w:r w:rsidR="00392835" w:rsidRPr="00E56B2D">
        <w:rPr>
          <w:rFonts w:cs="Tahoma"/>
          <w:sz w:val="20"/>
          <w:szCs w:val="20"/>
        </w:rPr>
        <w:t xml:space="preserve">należy wpłacić w kasie Urzędu Miejskiego w Elblągu lub na rachunek bankowy w banku PKO BP S.A. z siedzibą w Warszawie nr 95 1020 1811 0000 0902 0334 </w:t>
      </w:r>
      <w:r w:rsidR="00392835" w:rsidRPr="00E56B2D">
        <w:rPr>
          <w:rFonts w:cs="Tahoma"/>
          <w:sz w:val="20"/>
          <w:szCs w:val="20"/>
        </w:rPr>
        <w:lastRenderedPageBreak/>
        <w:t>1138</w:t>
      </w:r>
      <w:r w:rsidR="008B75D0" w:rsidRPr="00E56B2D">
        <w:rPr>
          <w:rFonts w:cs="Tahoma"/>
          <w:sz w:val="20"/>
          <w:szCs w:val="20"/>
        </w:rPr>
        <w:t>,</w:t>
      </w:r>
      <w:r w:rsidR="00392835" w:rsidRPr="00E56B2D">
        <w:rPr>
          <w:rFonts w:cs="Tahoma"/>
          <w:sz w:val="20"/>
          <w:szCs w:val="20"/>
        </w:rPr>
        <w:t xml:space="preserve"> w terminie do dnia </w:t>
      </w:r>
      <w:r w:rsidR="008A16C3">
        <w:rPr>
          <w:rFonts w:cs="Tahoma"/>
          <w:b/>
          <w:sz w:val="20"/>
          <w:szCs w:val="20"/>
        </w:rPr>
        <w:t>1</w:t>
      </w:r>
      <w:r w:rsidR="007E69A8">
        <w:rPr>
          <w:rFonts w:cs="Tahoma"/>
          <w:b/>
          <w:sz w:val="20"/>
          <w:szCs w:val="20"/>
        </w:rPr>
        <w:t>2 sierpnia</w:t>
      </w:r>
      <w:r w:rsidR="005622E2" w:rsidRPr="00E56B2D">
        <w:rPr>
          <w:rFonts w:cs="Tahoma"/>
          <w:b/>
          <w:sz w:val="20"/>
          <w:szCs w:val="20"/>
        </w:rPr>
        <w:t xml:space="preserve"> 202</w:t>
      </w:r>
      <w:r w:rsidR="008A16C3">
        <w:rPr>
          <w:rFonts w:cs="Tahoma"/>
          <w:b/>
          <w:sz w:val="20"/>
          <w:szCs w:val="20"/>
        </w:rPr>
        <w:t>4</w:t>
      </w:r>
      <w:r w:rsidR="00392835" w:rsidRPr="00E56B2D">
        <w:rPr>
          <w:rFonts w:cs="Tahoma"/>
          <w:b/>
          <w:bCs/>
          <w:sz w:val="20"/>
          <w:szCs w:val="20"/>
        </w:rPr>
        <w:t xml:space="preserve"> </w:t>
      </w:r>
      <w:r w:rsidR="00392835" w:rsidRPr="00E56B2D">
        <w:rPr>
          <w:rFonts w:cs="Tahoma"/>
          <w:b/>
          <w:sz w:val="20"/>
          <w:szCs w:val="20"/>
        </w:rPr>
        <w:t>r.</w:t>
      </w:r>
      <w:r w:rsidR="00392835" w:rsidRPr="00E56B2D">
        <w:rPr>
          <w:rFonts w:cs="Tahoma"/>
          <w:sz w:val="20"/>
          <w:szCs w:val="20"/>
        </w:rPr>
        <w:t xml:space="preserve"> Wadium wpłacone przez uczestnika przetargu, który ustalony zostanie jako Nabywca, zaliczone zostanie na poczet ceny nabycia nieruchomości. Pozostałym uczestnikom przetargu</w:t>
      </w:r>
      <w:r w:rsidR="008B75D0" w:rsidRPr="00E56B2D">
        <w:rPr>
          <w:rFonts w:cs="Tahoma"/>
          <w:sz w:val="20"/>
          <w:szCs w:val="20"/>
        </w:rPr>
        <w:t>,</w:t>
      </w:r>
      <w:r w:rsidR="00392835" w:rsidRPr="00E56B2D">
        <w:rPr>
          <w:rFonts w:cs="Tahoma"/>
          <w:sz w:val="20"/>
          <w:szCs w:val="20"/>
        </w:rPr>
        <w:t xml:space="preserve"> wadium zostanie zwrócone</w:t>
      </w:r>
      <w:r w:rsidR="008B75D0" w:rsidRPr="00E56B2D">
        <w:rPr>
          <w:rFonts w:cs="Tahoma"/>
          <w:sz w:val="20"/>
          <w:szCs w:val="20"/>
        </w:rPr>
        <w:t>,</w:t>
      </w:r>
      <w:r w:rsidR="00392835" w:rsidRPr="00E56B2D">
        <w:rPr>
          <w:rFonts w:cs="Tahoma"/>
          <w:sz w:val="20"/>
          <w:szCs w:val="20"/>
        </w:rPr>
        <w:t xml:space="preserve"> niezwłocznie po zamknięciu przetargu, jednak nie później niż przed upływem 3 dni</w:t>
      </w:r>
      <w:r w:rsidRPr="00E56B2D">
        <w:rPr>
          <w:rFonts w:cs="Tahoma"/>
          <w:sz w:val="20"/>
          <w:szCs w:val="20"/>
        </w:rPr>
        <w:t>.</w:t>
      </w:r>
    </w:p>
    <w:p w14:paraId="3056E936" w14:textId="1E40579B" w:rsidR="00D80A0F" w:rsidRPr="00E56B2D" w:rsidRDefault="00D80A0F" w:rsidP="00E56B2D">
      <w:pPr>
        <w:numPr>
          <w:ilvl w:val="0"/>
          <w:numId w:val="1"/>
        </w:numPr>
        <w:autoSpaceDE w:val="0"/>
        <w:autoSpaceDN w:val="0"/>
        <w:adjustRightInd w:val="0"/>
        <w:ind w:hanging="322"/>
        <w:jc w:val="both"/>
        <w:rPr>
          <w:rFonts w:cs="Tahoma"/>
          <w:sz w:val="20"/>
          <w:szCs w:val="20"/>
        </w:rPr>
      </w:pPr>
      <w:r w:rsidRPr="00E56B2D">
        <w:rPr>
          <w:rFonts w:cs="Tahoma"/>
          <w:b/>
          <w:sz w:val="20"/>
          <w:szCs w:val="20"/>
        </w:rPr>
        <w:t>Wysokość postąpienia:</w:t>
      </w:r>
      <w:r w:rsidRPr="00E56B2D">
        <w:rPr>
          <w:rFonts w:cs="Tahoma"/>
          <w:sz w:val="20"/>
          <w:szCs w:val="20"/>
        </w:rPr>
        <w:t xml:space="preserve"> </w:t>
      </w:r>
      <w:r w:rsidR="000970D2" w:rsidRPr="00E56B2D">
        <w:rPr>
          <w:rFonts w:cs="Tahoma"/>
          <w:sz w:val="20"/>
          <w:szCs w:val="20"/>
        </w:rPr>
        <w:t>o wysokości postąpienia decydują uczestnicy przetargu, z tym że postąpienie nie może wynosić mniej niż 1% ceny wywoławczej, z zaokrągleniem do pełnych dziesiątek złotych i </w:t>
      </w:r>
      <w:r w:rsidR="000970D2" w:rsidRPr="00E56B2D">
        <w:rPr>
          <w:rFonts w:cs="Tahoma"/>
          <w:b/>
          <w:sz w:val="20"/>
          <w:szCs w:val="20"/>
        </w:rPr>
        <w:t xml:space="preserve">wynosi minimum </w:t>
      </w:r>
      <w:r w:rsidR="009E2D5D" w:rsidRPr="00E56B2D">
        <w:rPr>
          <w:rFonts w:cs="Tahoma"/>
          <w:b/>
          <w:sz w:val="20"/>
          <w:szCs w:val="20"/>
        </w:rPr>
        <w:t>1.</w:t>
      </w:r>
      <w:r w:rsidR="007E69A8">
        <w:rPr>
          <w:rFonts w:cs="Tahoma"/>
          <w:b/>
          <w:sz w:val="20"/>
          <w:szCs w:val="20"/>
        </w:rPr>
        <w:t>40</w:t>
      </w:r>
      <w:r w:rsidR="009E2D5D" w:rsidRPr="00E56B2D">
        <w:rPr>
          <w:rFonts w:cs="Tahoma"/>
          <w:b/>
          <w:sz w:val="20"/>
          <w:szCs w:val="20"/>
        </w:rPr>
        <w:t>0</w:t>
      </w:r>
      <w:r w:rsidR="000970D2" w:rsidRPr="00E56B2D">
        <w:rPr>
          <w:rFonts w:cs="Tahoma"/>
          <w:b/>
          <w:sz w:val="20"/>
          <w:szCs w:val="20"/>
        </w:rPr>
        <w:t xml:space="preserve"> zł</w:t>
      </w:r>
      <w:r w:rsidRPr="00E56B2D">
        <w:rPr>
          <w:rFonts w:cs="Tahoma"/>
          <w:sz w:val="20"/>
          <w:szCs w:val="20"/>
        </w:rPr>
        <w:t>.</w:t>
      </w:r>
    </w:p>
    <w:p w14:paraId="113D8932" w14:textId="77777777" w:rsidR="00016945" w:rsidRPr="00E56B2D" w:rsidRDefault="00D80A0F" w:rsidP="00E56B2D">
      <w:pPr>
        <w:numPr>
          <w:ilvl w:val="0"/>
          <w:numId w:val="1"/>
        </w:numPr>
        <w:autoSpaceDE w:val="0"/>
        <w:jc w:val="both"/>
        <w:rPr>
          <w:rFonts w:cs="Tahoma"/>
          <w:sz w:val="20"/>
          <w:szCs w:val="20"/>
        </w:rPr>
      </w:pPr>
      <w:r w:rsidRPr="00E56B2D">
        <w:rPr>
          <w:rFonts w:cs="Tahoma"/>
          <w:b/>
          <w:sz w:val="20"/>
          <w:szCs w:val="20"/>
        </w:rPr>
        <w:t>Skutki uchylenia się od zawarcia umowy sprzedaży:</w:t>
      </w:r>
      <w:r w:rsidRPr="00E56B2D">
        <w:rPr>
          <w:rFonts w:cs="Tahoma"/>
          <w:sz w:val="20"/>
          <w:szCs w:val="20"/>
        </w:rPr>
        <w:t xml:space="preserve"> jeżeli uczestnik przetargu ustalony jako Nabywca</w:t>
      </w:r>
      <w:r w:rsidR="008B75D0" w:rsidRPr="00E56B2D">
        <w:rPr>
          <w:rFonts w:cs="Tahoma"/>
          <w:sz w:val="20"/>
          <w:szCs w:val="20"/>
        </w:rPr>
        <w:t>,</w:t>
      </w:r>
      <w:r w:rsidRPr="00E56B2D">
        <w:rPr>
          <w:rFonts w:cs="Tahoma"/>
          <w:sz w:val="20"/>
          <w:szCs w:val="20"/>
        </w:rPr>
        <w:t xml:space="preserve"> uchyli się od podpisania umowy sprzedaży</w:t>
      </w:r>
      <w:r w:rsidR="008B75D0" w:rsidRPr="00E56B2D">
        <w:rPr>
          <w:rFonts w:cs="Tahoma"/>
          <w:sz w:val="20"/>
          <w:szCs w:val="20"/>
        </w:rPr>
        <w:t>,</w:t>
      </w:r>
      <w:r w:rsidRPr="00E56B2D">
        <w:rPr>
          <w:rFonts w:cs="Tahoma"/>
          <w:sz w:val="20"/>
          <w:szCs w:val="20"/>
        </w:rPr>
        <w:t xml:space="preserve"> w formie aktu notarialnego</w:t>
      </w:r>
      <w:r w:rsidR="008B75D0" w:rsidRPr="00E56B2D">
        <w:rPr>
          <w:rFonts w:cs="Tahoma"/>
          <w:sz w:val="20"/>
          <w:szCs w:val="20"/>
        </w:rPr>
        <w:t>,</w:t>
      </w:r>
      <w:r w:rsidRPr="00E56B2D">
        <w:rPr>
          <w:rFonts w:cs="Tahoma"/>
          <w:sz w:val="20"/>
          <w:szCs w:val="20"/>
        </w:rPr>
        <w:t xml:space="preserve"> wpłacone wadium ulegnie przepadkowi na rzecz Gminy Miasto Elbląg.</w:t>
      </w:r>
    </w:p>
    <w:p w14:paraId="00C50F12" w14:textId="77777777" w:rsidR="00B03F2B" w:rsidRPr="00E56B2D" w:rsidRDefault="00D80A0F" w:rsidP="00E56B2D">
      <w:pPr>
        <w:numPr>
          <w:ilvl w:val="0"/>
          <w:numId w:val="1"/>
        </w:numPr>
        <w:autoSpaceDE w:val="0"/>
        <w:autoSpaceDN w:val="0"/>
        <w:adjustRightInd w:val="0"/>
        <w:ind w:hanging="322"/>
        <w:jc w:val="both"/>
        <w:rPr>
          <w:rFonts w:cs="Tahoma"/>
          <w:sz w:val="20"/>
          <w:szCs w:val="20"/>
        </w:rPr>
      </w:pPr>
      <w:r w:rsidRPr="00E56B2D">
        <w:rPr>
          <w:rFonts w:cs="Tahoma"/>
          <w:b/>
          <w:sz w:val="20"/>
          <w:szCs w:val="20"/>
        </w:rPr>
        <w:t xml:space="preserve">Warunki nabycia nieruchomości: </w:t>
      </w:r>
    </w:p>
    <w:p w14:paraId="07AAF301" w14:textId="5995ADB3" w:rsidR="008A16C3" w:rsidRDefault="008A16C3" w:rsidP="004E09A6">
      <w:pPr>
        <w:numPr>
          <w:ilvl w:val="1"/>
          <w:numId w:val="1"/>
        </w:numPr>
        <w:tabs>
          <w:tab w:val="num" w:pos="720"/>
        </w:tabs>
        <w:autoSpaceDE w:val="0"/>
        <w:autoSpaceDN w:val="0"/>
        <w:adjustRightInd w:val="0"/>
        <w:ind w:left="720"/>
        <w:jc w:val="both"/>
        <w:rPr>
          <w:rFonts w:cs="Tahoma"/>
          <w:sz w:val="20"/>
          <w:szCs w:val="20"/>
        </w:rPr>
      </w:pPr>
      <w:r>
        <w:rPr>
          <w:sz w:val="20"/>
          <w:szCs w:val="20"/>
        </w:rPr>
        <w:t>Nieruchomość objęta przetargiem była przedmiotem pierwszego ustnego przetargu nieograniczonego, przeprowadzonego w dniu 1</w:t>
      </w:r>
      <w:r w:rsidR="001A158C">
        <w:rPr>
          <w:sz w:val="20"/>
          <w:szCs w:val="20"/>
        </w:rPr>
        <w:t>3 listopada</w:t>
      </w:r>
      <w:r>
        <w:rPr>
          <w:sz w:val="20"/>
          <w:szCs w:val="20"/>
        </w:rPr>
        <w:t xml:space="preserve"> 2023 r.,</w:t>
      </w:r>
      <w:r w:rsidR="007E69A8">
        <w:rPr>
          <w:sz w:val="20"/>
          <w:szCs w:val="20"/>
        </w:rPr>
        <w:t xml:space="preserve"> drugiego ustnego przetargu nieograniczonego, przeprowadzonego w dniu 26 lutego 2024 r., </w:t>
      </w:r>
      <w:r>
        <w:rPr>
          <w:sz w:val="20"/>
          <w:szCs w:val="20"/>
        </w:rPr>
        <w:t>któr</w:t>
      </w:r>
      <w:r w:rsidR="007E69A8">
        <w:rPr>
          <w:sz w:val="20"/>
          <w:szCs w:val="20"/>
        </w:rPr>
        <w:t>e</w:t>
      </w:r>
      <w:r>
        <w:rPr>
          <w:sz w:val="20"/>
          <w:szCs w:val="20"/>
        </w:rPr>
        <w:t xml:space="preserve"> zakończył</w:t>
      </w:r>
      <w:r w:rsidR="007E69A8">
        <w:rPr>
          <w:sz w:val="20"/>
          <w:szCs w:val="20"/>
        </w:rPr>
        <w:t>y</w:t>
      </w:r>
      <w:r>
        <w:rPr>
          <w:sz w:val="20"/>
          <w:szCs w:val="20"/>
        </w:rPr>
        <w:t xml:space="preserve"> się wynikiem negatywnym.</w:t>
      </w:r>
    </w:p>
    <w:p w14:paraId="22074671" w14:textId="5019C517" w:rsidR="004E09A6" w:rsidRDefault="00D80A0F" w:rsidP="004E09A6">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Nieruchomość objęta przetargiem stanowi własność Gminy Miasto Elbląg i nie jest obciążona żadnymi prawami i długami wobec osób trzecich, za wyjątkiem praw</w:t>
      </w:r>
      <w:r w:rsidR="008B75D0" w:rsidRPr="00E56B2D">
        <w:rPr>
          <w:rFonts w:cs="Tahoma"/>
          <w:sz w:val="20"/>
          <w:szCs w:val="20"/>
        </w:rPr>
        <w:t>,</w:t>
      </w:r>
      <w:r w:rsidRPr="00E56B2D">
        <w:rPr>
          <w:rFonts w:cs="Tahoma"/>
          <w:sz w:val="20"/>
          <w:szCs w:val="20"/>
        </w:rPr>
        <w:t xml:space="preserve"> wynikających z przebiegu przez nieruchomość sieci infrastruktury technicznej uzbrojenia terenu i przyłączy do tych sieci.</w:t>
      </w:r>
      <w:bookmarkStart w:id="1" w:name="_Hlk144987895"/>
    </w:p>
    <w:p w14:paraId="7D3F6073" w14:textId="26D05987" w:rsidR="009E2D5D" w:rsidRPr="004E09A6" w:rsidRDefault="009E2D5D" w:rsidP="004E09A6">
      <w:pPr>
        <w:numPr>
          <w:ilvl w:val="1"/>
          <w:numId w:val="1"/>
        </w:numPr>
        <w:tabs>
          <w:tab w:val="num" w:pos="720"/>
        </w:tabs>
        <w:autoSpaceDE w:val="0"/>
        <w:autoSpaceDN w:val="0"/>
        <w:adjustRightInd w:val="0"/>
        <w:ind w:left="720"/>
        <w:jc w:val="both"/>
        <w:rPr>
          <w:rFonts w:cs="Tahoma"/>
          <w:sz w:val="20"/>
          <w:szCs w:val="20"/>
        </w:rPr>
      </w:pPr>
      <w:r w:rsidRPr="004E09A6">
        <w:rPr>
          <w:rFonts w:cs="Tahoma"/>
          <w:sz w:val="20"/>
          <w:szCs w:val="20"/>
        </w:rPr>
        <w:t xml:space="preserve">Realizacja budowy na gruncie rolnym, </w:t>
      </w:r>
      <w:r w:rsidRPr="004E09A6">
        <w:rPr>
          <w:rFonts w:cs="Tahoma"/>
          <w:sz w:val="20"/>
          <w:szCs w:val="20"/>
          <w:u w:val="single"/>
        </w:rPr>
        <w:t>przed wydaniem pozwolenia na budowę</w:t>
      </w:r>
      <w:r w:rsidRPr="004E09A6">
        <w:rPr>
          <w:rFonts w:cs="Tahoma"/>
          <w:sz w:val="20"/>
          <w:szCs w:val="20"/>
        </w:rPr>
        <w:t>, wymaga przeprowadzenia odrębnej procedury administracyjnej, w celu uzyskania decyzji administracyjnej:</w:t>
      </w:r>
    </w:p>
    <w:p w14:paraId="03641970" w14:textId="4FF244CF" w:rsidR="009E2D5D" w:rsidRPr="000D0D77" w:rsidRDefault="009E2D5D" w:rsidP="000D0D77">
      <w:pPr>
        <w:pStyle w:val="Akapitzlist"/>
        <w:numPr>
          <w:ilvl w:val="0"/>
          <w:numId w:val="6"/>
        </w:numPr>
        <w:autoSpaceDE w:val="0"/>
        <w:ind w:right="-93"/>
        <w:jc w:val="both"/>
        <w:rPr>
          <w:rFonts w:cs="Tahoma"/>
          <w:sz w:val="20"/>
          <w:szCs w:val="20"/>
        </w:rPr>
      </w:pPr>
      <w:r w:rsidRPr="000D0D77">
        <w:rPr>
          <w:rFonts w:cs="Tahoma"/>
          <w:sz w:val="20"/>
          <w:szCs w:val="20"/>
        </w:rPr>
        <w:t xml:space="preserve">zezwalającej na wyłączenie z produkcji użytków rolnych wytworzonych z gleb pochodzenia mineralnego i organicznego (wraz z wynikającymi z tego wyłączenia obowiązkami), dot. użytków rolnych zaliczonych m.in. do klas: I, II, III, </w:t>
      </w:r>
      <w:proofErr w:type="spellStart"/>
      <w:r w:rsidRPr="000D0D77">
        <w:rPr>
          <w:rFonts w:cs="Tahoma"/>
          <w:sz w:val="20"/>
          <w:szCs w:val="20"/>
        </w:rPr>
        <w:t>IIIa</w:t>
      </w:r>
      <w:proofErr w:type="spellEnd"/>
      <w:r w:rsidRPr="000D0D77">
        <w:rPr>
          <w:rFonts w:cs="Tahoma"/>
          <w:sz w:val="20"/>
          <w:szCs w:val="20"/>
        </w:rPr>
        <w:t xml:space="preserve">, </w:t>
      </w:r>
      <w:proofErr w:type="spellStart"/>
      <w:r w:rsidRPr="000D0D77">
        <w:rPr>
          <w:rFonts w:cs="Tahoma"/>
          <w:sz w:val="20"/>
          <w:szCs w:val="20"/>
        </w:rPr>
        <w:t>IIIb</w:t>
      </w:r>
      <w:proofErr w:type="spellEnd"/>
      <w:r w:rsidRPr="000D0D77">
        <w:rPr>
          <w:rFonts w:cs="Tahoma"/>
          <w:sz w:val="20"/>
          <w:szCs w:val="20"/>
        </w:rPr>
        <w:t>, gruntów leśnych oraz gruntów szczegółowo wskazanych w art. 2 ust. 1 pkt 2-10 ustawy z dnia 3 lutego 1995 r. o ochronie gruntów rolnych i leśnych (</w:t>
      </w:r>
      <w:proofErr w:type="spellStart"/>
      <w:r w:rsidRPr="000D0D77">
        <w:rPr>
          <w:rFonts w:cs="Tahoma"/>
          <w:sz w:val="20"/>
          <w:szCs w:val="20"/>
        </w:rPr>
        <w:t>t.j</w:t>
      </w:r>
      <w:proofErr w:type="spellEnd"/>
      <w:r w:rsidRPr="000D0D77">
        <w:rPr>
          <w:rFonts w:cs="Tahoma"/>
          <w:sz w:val="20"/>
          <w:szCs w:val="20"/>
        </w:rPr>
        <w:t>. Dz.U. z 202</w:t>
      </w:r>
      <w:r w:rsidR="00C35CC9" w:rsidRPr="000D0D77">
        <w:rPr>
          <w:rFonts w:cs="Tahoma"/>
          <w:sz w:val="20"/>
          <w:szCs w:val="20"/>
        </w:rPr>
        <w:t>4</w:t>
      </w:r>
      <w:r w:rsidRPr="000D0D77">
        <w:rPr>
          <w:rFonts w:cs="Tahoma"/>
          <w:sz w:val="20"/>
          <w:szCs w:val="20"/>
        </w:rPr>
        <w:t xml:space="preserve"> r. poz. </w:t>
      </w:r>
      <w:r w:rsidR="00C35CC9" w:rsidRPr="000D0D77">
        <w:rPr>
          <w:rFonts w:cs="Tahoma"/>
          <w:sz w:val="20"/>
          <w:szCs w:val="20"/>
        </w:rPr>
        <w:t>82</w:t>
      </w:r>
      <w:r w:rsidRPr="000D0D77">
        <w:rPr>
          <w:rFonts w:cs="Tahoma"/>
          <w:sz w:val="20"/>
          <w:szCs w:val="20"/>
        </w:rPr>
        <w:t>)</w:t>
      </w:r>
      <w:r w:rsidR="0074709A" w:rsidRPr="000D0D77">
        <w:rPr>
          <w:rFonts w:cs="Tahoma"/>
          <w:sz w:val="20"/>
          <w:szCs w:val="20"/>
        </w:rPr>
        <w:t>;</w:t>
      </w:r>
    </w:p>
    <w:p w14:paraId="32308254" w14:textId="5E498CDA" w:rsidR="009E2D5D" w:rsidRPr="000D0D77" w:rsidRDefault="009E2D5D" w:rsidP="000D0D77">
      <w:pPr>
        <w:pStyle w:val="Akapitzlist"/>
        <w:numPr>
          <w:ilvl w:val="0"/>
          <w:numId w:val="6"/>
        </w:numPr>
        <w:autoSpaceDE w:val="0"/>
        <w:ind w:right="-93"/>
        <w:jc w:val="both"/>
        <w:rPr>
          <w:rFonts w:cs="Tahoma"/>
          <w:sz w:val="20"/>
          <w:szCs w:val="20"/>
        </w:rPr>
      </w:pPr>
      <w:r w:rsidRPr="000D0D77">
        <w:rPr>
          <w:rFonts w:cs="Tahoma"/>
          <w:sz w:val="20"/>
          <w:szCs w:val="20"/>
        </w:rPr>
        <w:t xml:space="preserve">orzekającej o wyłączeniu z produkcji użytków rolnych wytworzonych z gleb pochodzenia organicznego klas: IV, </w:t>
      </w:r>
      <w:proofErr w:type="spellStart"/>
      <w:r w:rsidRPr="000D0D77">
        <w:rPr>
          <w:rFonts w:cs="Tahoma"/>
          <w:sz w:val="20"/>
          <w:szCs w:val="20"/>
        </w:rPr>
        <w:t>IVa</w:t>
      </w:r>
      <w:proofErr w:type="spellEnd"/>
      <w:r w:rsidRPr="000D0D77">
        <w:rPr>
          <w:rFonts w:cs="Tahoma"/>
          <w:sz w:val="20"/>
          <w:szCs w:val="20"/>
        </w:rPr>
        <w:t xml:space="preserve">, </w:t>
      </w:r>
      <w:proofErr w:type="spellStart"/>
      <w:r w:rsidRPr="000D0D77">
        <w:rPr>
          <w:rFonts w:cs="Tahoma"/>
          <w:sz w:val="20"/>
          <w:szCs w:val="20"/>
        </w:rPr>
        <w:t>IVb</w:t>
      </w:r>
      <w:proofErr w:type="spellEnd"/>
      <w:r w:rsidRPr="000D0D77">
        <w:rPr>
          <w:rFonts w:cs="Tahoma"/>
          <w:sz w:val="20"/>
          <w:szCs w:val="20"/>
        </w:rPr>
        <w:t>, V i VI.</w:t>
      </w:r>
    </w:p>
    <w:p w14:paraId="0A04A38A" w14:textId="68D73B31" w:rsidR="009E2D5D" w:rsidRPr="00E56B2D" w:rsidRDefault="009E2D5D" w:rsidP="00E56B2D">
      <w:pPr>
        <w:autoSpaceDE w:val="0"/>
        <w:ind w:left="709" w:right="-18"/>
        <w:jc w:val="both"/>
        <w:rPr>
          <w:rFonts w:cs="Tahoma"/>
          <w:sz w:val="20"/>
          <w:szCs w:val="20"/>
        </w:rPr>
      </w:pPr>
      <w:r w:rsidRPr="00E56B2D">
        <w:rPr>
          <w:rFonts w:cs="Tahoma"/>
          <w:sz w:val="20"/>
          <w:szCs w:val="20"/>
        </w:rPr>
        <w:t>Wyłączenie gruntu rolnego z produkcji rolnej, następuje na wniosek podmiotu, który na mocy posiadanego prawa do gruntu, określa charakter inwestycji oraz powierzchnię objętą wyłączeniem. Dla potwierdzenia tej powierzchni, do wniosku załącza się, zatwierdzony przez uprawnionego projektanta, projekt zagospodarowania działki.</w:t>
      </w:r>
    </w:p>
    <w:p w14:paraId="6F02A27F" w14:textId="77777777" w:rsidR="009E2D5D" w:rsidRPr="00E56B2D" w:rsidRDefault="009E2D5D" w:rsidP="00E56B2D">
      <w:pPr>
        <w:autoSpaceDE w:val="0"/>
        <w:ind w:left="709" w:right="-18"/>
        <w:jc w:val="both"/>
        <w:rPr>
          <w:rFonts w:cs="Tahoma"/>
          <w:sz w:val="20"/>
          <w:szCs w:val="20"/>
        </w:rPr>
      </w:pPr>
      <w:r w:rsidRPr="00E56B2D">
        <w:rPr>
          <w:rFonts w:cs="Tahoma"/>
          <w:sz w:val="20"/>
          <w:szCs w:val="20"/>
        </w:rPr>
        <w:t>Zezwolenie na wyłączenie gruntów rolnych na działce, nie obejmuje całej jej powierzchni, lecz tylko taką powierzchnię, na jakiej w projekcie zagospodarowania terenu, zaplanowano rozpoczęcie innego niż rolnicze, wykorzystywanie gruntów.</w:t>
      </w:r>
    </w:p>
    <w:p w14:paraId="5320D946" w14:textId="77777777" w:rsidR="009E2D5D" w:rsidRPr="00E56B2D" w:rsidRDefault="009E2D5D" w:rsidP="00E56B2D">
      <w:pPr>
        <w:autoSpaceDE w:val="0"/>
        <w:ind w:left="709" w:right="-18"/>
        <w:jc w:val="both"/>
        <w:rPr>
          <w:rFonts w:cs="Tahoma"/>
          <w:sz w:val="20"/>
          <w:szCs w:val="20"/>
        </w:rPr>
      </w:pPr>
      <w:r w:rsidRPr="00E56B2D">
        <w:rPr>
          <w:rFonts w:cs="Tahoma"/>
          <w:sz w:val="20"/>
          <w:szCs w:val="20"/>
        </w:rPr>
        <w:t xml:space="preserve">W rozdziale 3 cyt. ustawy o ochronie gruntów rolnych i leśnych, określone zostały warunki oraz obowiązki, związane z uiszczaniem należności i opłat rocznych oraz wyłączenia, nie objęte obowiązkiem uiszczania opłat z tytułu wyłączenia. </w:t>
      </w:r>
    </w:p>
    <w:p w14:paraId="2E3C2514" w14:textId="77777777" w:rsidR="009E2D5D" w:rsidRPr="00E56B2D" w:rsidRDefault="009E2D5D" w:rsidP="00E56B2D">
      <w:pPr>
        <w:autoSpaceDE w:val="0"/>
        <w:ind w:left="709" w:right="-18"/>
        <w:jc w:val="both"/>
        <w:rPr>
          <w:rFonts w:cs="Tahoma"/>
          <w:sz w:val="20"/>
          <w:szCs w:val="20"/>
        </w:rPr>
      </w:pPr>
      <w:r w:rsidRPr="00E56B2D">
        <w:rPr>
          <w:rFonts w:cs="Tahoma"/>
          <w:sz w:val="20"/>
          <w:szCs w:val="20"/>
        </w:rPr>
        <w:t>W przypadku przedmiotowej nieruchomości, wyłączenie gruntów z produkcji rolnej, celem jej zagospodarowania zgodne z miejscowym planem zagospodarowania przestrzennego, o którym mowa w pkt 4, wiązać się będzie z koniecznością poniesienia kosztów z tego tytułu.</w:t>
      </w:r>
    </w:p>
    <w:p w14:paraId="76D7BB04" w14:textId="54673127" w:rsidR="00164163" w:rsidRPr="00E56B2D" w:rsidRDefault="009E2D5D" w:rsidP="00E56B2D">
      <w:pPr>
        <w:tabs>
          <w:tab w:val="num" w:pos="720"/>
        </w:tabs>
        <w:autoSpaceDE w:val="0"/>
        <w:autoSpaceDN w:val="0"/>
        <w:adjustRightInd w:val="0"/>
        <w:ind w:left="720"/>
        <w:jc w:val="both"/>
        <w:rPr>
          <w:rFonts w:cs="Tahoma"/>
          <w:sz w:val="20"/>
          <w:szCs w:val="20"/>
        </w:rPr>
      </w:pPr>
      <w:r w:rsidRPr="00E56B2D">
        <w:rPr>
          <w:rFonts w:cs="Tahoma"/>
          <w:sz w:val="20"/>
          <w:szCs w:val="20"/>
        </w:rPr>
        <w:t xml:space="preserve">Szczegółowy tryb wydawania decyzji w zakresie wyłączania gruntów rolnych z produkcji rolnej, dostępny jest pod adresem: </w:t>
      </w:r>
      <w:hyperlink r:id="rId9" w:history="1">
        <w:r w:rsidRPr="00E56B2D">
          <w:rPr>
            <w:rStyle w:val="Hipercze"/>
            <w:rFonts w:cs="Tahoma"/>
            <w:sz w:val="20"/>
            <w:szCs w:val="20"/>
          </w:rPr>
          <w:t>https://bip.elblag.eu/sprawa-do-zalatwienia/335/wydawanie-decyzji-w-zakresie-wylaczenia-gruntow-rolnych-z-produkcji-rolnej</w:t>
        </w:r>
      </w:hyperlink>
      <w:r w:rsidRPr="00E56B2D">
        <w:rPr>
          <w:rFonts w:cs="Tahoma"/>
          <w:sz w:val="20"/>
          <w:szCs w:val="20"/>
        </w:rPr>
        <w:t xml:space="preserve"> lub bezpośrednio w Departamencie Ochrony Środowiska tut. Urzędu Miejskiego (pok. 242, tel.:</w:t>
      </w:r>
      <w:r w:rsidRPr="00E56B2D">
        <w:rPr>
          <w:rStyle w:val="WW8Num1z0"/>
          <w:rFonts w:ascii="Tahoma" w:hAnsi="Tahoma" w:cs="Tahoma"/>
          <w:color w:val="000000"/>
          <w:sz w:val="20"/>
          <w:szCs w:val="20"/>
          <w:shd w:val="clear" w:color="auto" w:fill="FFFFFF"/>
        </w:rPr>
        <w:t xml:space="preserve"> </w:t>
      </w:r>
      <w:r w:rsidRPr="00E56B2D">
        <w:rPr>
          <w:rFonts w:cs="Tahoma"/>
          <w:color w:val="000000"/>
          <w:sz w:val="20"/>
          <w:szCs w:val="20"/>
          <w:shd w:val="clear" w:color="auto" w:fill="FFFFFF"/>
        </w:rPr>
        <w:t>55 239-31-81</w:t>
      </w:r>
      <w:bookmarkEnd w:id="1"/>
      <w:r w:rsidR="00417FBE" w:rsidRPr="00E56B2D">
        <w:rPr>
          <w:rFonts w:cs="Tahoma"/>
          <w:color w:val="000000"/>
          <w:sz w:val="20"/>
          <w:szCs w:val="20"/>
          <w:shd w:val="clear" w:color="auto" w:fill="FFFFFF"/>
        </w:rPr>
        <w:t>)</w:t>
      </w:r>
      <w:r w:rsidR="00D80A0F" w:rsidRPr="00E56B2D">
        <w:rPr>
          <w:rFonts w:cs="Tahoma"/>
          <w:sz w:val="20"/>
          <w:szCs w:val="20"/>
        </w:rPr>
        <w:t>.</w:t>
      </w:r>
    </w:p>
    <w:p w14:paraId="7B69D602"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Wyłączenie gruntów z produkcji rolnej odbywać się będzie własnym staraniem i na własny koszt Nabywcy.</w:t>
      </w:r>
    </w:p>
    <w:p w14:paraId="26441439" w14:textId="77777777" w:rsidR="00DA58BB"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Gmina Miasto Elbląg nie ponosi odpowiedzialności za wady ukryte nieruchomości.</w:t>
      </w:r>
    </w:p>
    <w:p w14:paraId="1CC88E2C"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Sprzedaż i wydanie nieruchomości w posiadanie Nabywcy następuje według danych zawartych w ewidencji gruntów i budynków oraz w aktualnym stanie zagospodarowania</w:t>
      </w:r>
      <w:r w:rsidR="00266BCC" w:rsidRPr="00E56B2D">
        <w:rPr>
          <w:rFonts w:cs="Tahoma"/>
          <w:sz w:val="20"/>
          <w:szCs w:val="20"/>
        </w:rPr>
        <w:t>, ewentualny koszt wznowienia punktów granicznych (granic) ponosi Nabywca.</w:t>
      </w:r>
    </w:p>
    <w:p w14:paraId="5503020E"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 xml:space="preserve">W przypadku zaistnienia konieczności usunięcia drzew i krzewów z terenu nieruchomości, Nabywca zobowiązany będzie uczynić to własnym staraniem i na własny koszt. Wycinka może nastąpić po uzyskaniu przez Nabywcę stosownych zezwoleń i może wiązać się z </w:t>
      </w:r>
      <w:r w:rsidR="0027478F" w:rsidRPr="00E56B2D">
        <w:rPr>
          <w:rFonts w:cs="Tahoma"/>
          <w:sz w:val="20"/>
          <w:szCs w:val="20"/>
        </w:rPr>
        <w:t>opłatami</w:t>
      </w:r>
      <w:r w:rsidR="0027478F" w:rsidRPr="00E56B2D">
        <w:rPr>
          <w:rFonts w:cs="Tahoma"/>
          <w:sz w:val="20"/>
          <w:szCs w:val="20"/>
        </w:rPr>
        <w:br/>
        <w:t>z</w:t>
      </w:r>
      <w:r w:rsidRPr="00E56B2D">
        <w:rPr>
          <w:rFonts w:cs="Tahoma"/>
          <w:sz w:val="20"/>
          <w:szCs w:val="20"/>
        </w:rPr>
        <w:t xml:space="preserve"> tego tytułu.</w:t>
      </w:r>
    </w:p>
    <w:p w14:paraId="6F72A548"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 xml:space="preserve"> </w:t>
      </w:r>
      <w:r w:rsidRPr="00E56B2D">
        <w:rPr>
          <w:rFonts w:cs="Tahoma"/>
          <w:bCs/>
          <w:sz w:val="20"/>
          <w:szCs w:val="20"/>
        </w:rPr>
        <w:t>W związku z przebiegiem przez nieruchomość sieci uzbrojenia terenu</w:t>
      </w:r>
      <w:r w:rsidR="008B75D0" w:rsidRPr="00E56B2D">
        <w:rPr>
          <w:rFonts w:cs="Tahoma"/>
          <w:bCs/>
          <w:sz w:val="20"/>
          <w:szCs w:val="20"/>
        </w:rPr>
        <w:t>,</w:t>
      </w:r>
      <w:r w:rsidRPr="00E56B2D">
        <w:rPr>
          <w:rFonts w:cs="Tahoma"/>
          <w:bCs/>
          <w:sz w:val="20"/>
          <w:szCs w:val="20"/>
        </w:rPr>
        <w:t xml:space="preserve"> Nabywca zobowiązany będzie do złożenia oświadczenia, iż nie żąda i nie będzie żądać w </w:t>
      </w:r>
      <w:r w:rsidR="0027478F" w:rsidRPr="00E56B2D">
        <w:rPr>
          <w:rFonts w:cs="Tahoma"/>
          <w:bCs/>
          <w:sz w:val="20"/>
          <w:szCs w:val="20"/>
        </w:rPr>
        <w:t>przyszłości od</w:t>
      </w:r>
      <w:r w:rsidRPr="00E56B2D">
        <w:rPr>
          <w:rFonts w:cs="Tahoma"/>
          <w:bCs/>
          <w:sz w:val="20"/>
          <w:szCs w:val="20"/>
        </w:rPr>
        <w:t xml:space="preserve"> Sprzedającego</w:t>
      </w:r>
      <w:r w:rsidR="008B75D0" w:rsidRPr="00E56B2D">
        <w:rPr>
          <w:rFonts w:cs="Tahoma"/>
          <w:bCs/>
          <w:sz w:val="20"/>
          <w:szCs w:val="20"/>
        </w:rPr>
        <w:t>,</w:t>
      </w:r>
      <w:r w:rsidRPr="00E56B2D">
        <w:rPr>
          <w:rFonts w:cs="Tahoma"/>
          <w:bCs/>
          <w:sz w:val="20"/>
          <w:szCs w:val="20"/>
        </w:rPr>
        <w:t xml:space="preserve"> </w:t>
      </w:r>
      <w:r w:rsidRPr="00E56B2D">
        <w:rPr>
          <w:rFonts w:cs="Tahoma"/>
          <w:bCs/>
          <w:sz w:val="20"/>
          <w:szCs w:val="20"/>
        </w:rPr>
        <w:lastRenderedPageBreak/>
        <w:t xml:space="preserve">bądź gestorów tych sieci, ich usunięcia. Ponadto Nabywca zobowiąże </w:t>
      </w:r>
      <w:r w:rsidR="0027478F" w:rsidRPr="00E56B2D">
        <w:rPr>
          <w:rFonts w:cs="Tahoma"/>
          <w:bCs/>
          <w:sz w:val="20"/>
          <w:szCs w:val="20"/>
        </w:rPr>
        <w:t>się,</w:t>
      </w:r>
      <w:r w:rsidR="0027478F" w:rsidRPr="00E56B2D">
        <w:rPr>
          <w:rFonts w:cs="Tahoma"/>
          <w:bCs/>
          <w:sz w:val="20"/>
          <w:szCs w:val="20"/>
        </w:rPr>
        <w:br/>
        <w:t>w</w:t>
      </w:r>
      <w:r w:rsidRPr="00E56B2D">
        <w:rPr>
          <w:rFonts w:cs="Tahoma"/>
          <w:bCs/>
          <w:sz w:val="20"/>
          <w:szCs w:val="20"/>
        </w:rPr>
        <w:t xml:space="preserve"> przypadku zgłoszenia przez gestorów sieci takiego żądania, do ustanowienia na ich rzecz służebności przesyłu</w:t>
      </w:r>
      <w:r w:rsidR="008B75D0" w:rsidRPr="00E56B2D">
        <w:rPr>
          <w:rFonts w:cs="Tahoma"/>
          <w:bCs/>
          <w:sz w:val="20"/>
          <w:szCs w:val="20"/>
        </w:rPr>
        <w:t>,</w:t>
      </w:r>
      <w:r w:rsidRPr="00E56B2D">
        <w:rPr>
          <w:rFonts w:cs="Tahoma"/>
          <w:bCs/>
          <w:sz w:val="20"/>
          <w:szCs w:val="20"/>
        </w:rPr>
        <w:t xml:space="preserve"> polegającej na prawie przebiegu sieci uzbrojenia terenu oraz prawie dostępu służb technicznych</w:t>
      </w:r>
      <w:r w:rsidR="008B75D0" w:rsidRPr="00E56B2D">
        <w:rPr>
          <w:rFonts w:cs="Tahoma"/>
          <w:bCs/>
          <w:sz w:val="20"/>
          <w:szCs w:val="20"/>
        </w:rPr>
        <w:t>,</w:t>
      </w:r>
      <w:r w:rsidRPr="00E56B2D">
        <w:rPr>
          <w:rFonts w:cs="Tahoma"/>
          <w:bCs/>
          <w:sz w:val="20"/>
          <w:szCs w:val="20"/>
        </w:rPr>
        <w:t xml:space="preserve"> w zakresie niezbędnym do eksploatacji tych sieci i usuwania awarii, w tym do ustanowienia nieodpłatnej służebności przesyłu na rzecz </w:t>
      </w:r>
      <w:r w:rsidRPr="00E56B2D">
        <w:rPr>
          <w:rFonts w:cs="Tahoma"/>
          <w:sz w:val="20"/>
          <w:szCs w:val="20"/>
        </w:rPr>
        <w:t>Elbląskiego Przedsiębiorstwa Wodociągów i Kanalizacji w Elblągu Sp. z o.o.</w:t>
      </w:r>
    </w:p>
    <w:p w14:paraId="1C3B9EF7" w14:textId="77777777" w:rsidR="00D80A0F" w:rsidRPr="00E56B2D" w:rsidRDefault="00D80A0F" w:rsidP="00E56B2D">
      <w:pPr>
        <w:numPr>
          <w:ilvl w:val="0"/>
          <w:numId w:val="1"/>
        </w:numPr>
        <w:autoSpaceDE w:val="0"/>
        <w:autoSpaceDN w:val="0"/>
        <w:adjustRightInd w:val="0"/>
        <w:ind w:hanging="322"/>
        <w:jc w:val="both"/>
        <w:rPr>
          <w:rFonts w:cs="Tahoma"/>
          <w:sz w:val="20"/>
          <w:szCs w:val="20"/>
        </w:rPr>
      </w:pPr>
      <w:r w:rsidRPr="00E56B2D">
        <w:rPr>
          <w:rFonts w:cs="Tahoma"/>
          <w:b/>
          <w:sz w:val="20"/>
          <w:szCs w:val="20"/>
        </w:rPr>
        <w:t>Informacje dodatkowe:</w:t>
      </w:r>
    </w:p>
    <w:p w14:paraId="364E1B1C" w14:textId="134EEBBE" w:rsidR="00D80A0F" w:rsidRPr="00E56B2D" w:rsidRDefault="00E56B2D" w:rsidP="00E56B2D">
      <w:pPr>
        <w:numPr>
          <w:ilvl w:val="1"/>
          <w:numId w:val="1"/>
        </w:numPr>
        <w:tabs>
          <w:tab w:val="num" w:pos="720"/>
        </w:tabs>
        <w:autoSpaceDE w:val="0"/>
        <w:autoSpaceDN w:val="0"/>
        <w:adjustRightInd w:val="0"/>
        <w:ind w:left="720"/>
        <w:jc w:val="both"/>
        <w:rPr>
          <w:rFonts w:cs="Tahoma"/>
          <w:sz w:val="20"/>
          <w:szCs w:val="20"/>
        </w:rPr>
      </w:pPr>
      <w:bookmarkStart w:id="2" w:name="_Hlk144988177"/>
      <w:r w:rsidRPr="00E56B2D">
        <w:rPr>
          <w:rFonts w:cs="Tahoma"/>
          <w:sz w:val="20"/>
          <w:szCs w:val="20"/>
        </w:rPr>
        <w:t>Przetarg przeprowadzony zostanie w trybie przewidzianym przepisami ustawy z dnia 21 sierpnia 1997 r. o gospodarce nieruchomościami (</w:t>
      </w:r>
      <w:proofErr w:type="spellStart"/>
      <w:r w:rsidRPr="00E56B2D">
        <w:rPr>
          <w:rFonts w:cs="Tahoma"/>
          <w:sz w:val="20"/>
          <w:szCs w:val="20"/>
        </w:rPr>
        <w:t>t.j</w:t>
      </w:r>
      <w:proofErr w:type="spellEnd"/>
      <w:r w:rsidRPr="00E56B2D">
        <w:rPr>
          <w:rFonts w:cs="Tahoma"/>
          <w:sz w:val="20"/>
          <w:szCs w:val="20"/>
        </w:rPr>
        <w:t>. Dz.U. z 2023 r. poz. 344 ze zm.) oraz rozporządzenia Rady Ministrów z dnia 14 września 2004 r. w sprawie sposobu i trybu przeprowadzania przetargów oraz rokowań na zbycie nieruchomości (tj. Dz.U. 2021 r. poz. 2213</w:t>
      </w:r>
      <w:bookmarkEnd w:id="2"/>
      <w:r w:rsidR="00D80A0F" w:rsidRPr="00E56B2D">
        <w:rPr>
          <w:rFonts w:cs="Tahoma"/>
          <w:sz w:val="20"/>
          <w:szCs w:val="20"/>
        </w:rPr>
        <w:t>).</w:t>
      </w:r>
    </w:p>
    <w:p w14:paraId="6D72CF8B"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Przetarg będzie ważny bez względu na liczbę uczestników, jeżeli chociaż jeden uczestnik zaoferuje cenę wyższą od ceny wywoławczej o co najmniej jedno postąpienie.</w:t>
      </w:r>
    </w:p>
    <w:p w14:paraId="6891078C"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 xml:space="preserve">Nabycie nieruchomości przez cudzoziemca, w rozumieniu przepisów ustawy o nabywaniu nieruchomości przez cudzoziemców, wymaga uzyskania zezwolenia ministra </w:t>
      </w:r>
      <w:r w:rsidR="0027478F" w:rsidRPr="00E56B2D">
        <w:rPr>
          <w:rFonts w:cs="Tahoma"/>
          <w:sz w:val="20"/>
          <w:szCs w:val="20"/>
        </w:rPr>
        <w:t>właściwego do</w:t>
      </w:r>
      <w:r w:rsidRPr="00E56B2D">
        <w:rPr>
          <w:rFonts w:cs="Tahoma"/>
          <w:sz w:val="20"/>
          <w:szCs w:val="20"/>
        </w:rPr>
        <w:t xml:space="preserve"> spraw wewnętrznych i administracji. W przypadku nie uzyskania, przez osobę ustaloną jako Nabywca nieruchomości, wymaganego zezwolenia, wpłacone wadium ulegnie </w:t>
      </w:r>
      <w:r w:rsidR="0027478F" w:rsidRPr="00E56B2D">
        <w:rPr>
          <w:rFonts w:cs="Tahoma"/>
          <w:sz w:val="20"/>
          <w:szCs w:val="20"/>
        </w:rPr>
        <w:t>przepadkowi na</w:t>
      </w:r>
      <w:r w:rsidRPr="00E56B2D">
        <w:rPr>
          <w:rFonts w:cs="Tahoma"/>
          <w:sz w:val="20"/>
          <w:szCs w:val="20"/>
        </w:rPr>
        <w:t xml:space="preserve"> rzecz Gminy Miasto Elbląg.</w:t>
      </w:r>
    </w:p>
    <w:p w14:paraId="1EDB7009"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Organizator przetargu</w:t>
      </w:r>
      <w:r w:rsidR="008B75D0" w:rsidRPr="00E56B2D">
        <w:rPr>
          <w:rFonts w:cs="Tahoma"/>
          <w:sz w:val="20"/>
          <w:szCs w:val="20"/>
        </w:rPr>
        <w:t xml:space="preserve"> zawiadomi osobę ustaloną jako N</w:t>
      </w:r>
      <w:r w:rsidRPr="00E56B2D">
        <w:rPr>
          <w:rFonts w:cs="Tahoma"/>
          <w:sz w:val="20"/>
          <w:szCs w:val="20"/>
        </w:rPr>
        <w:t xml:space="preserve">abywca nieruchomości o </w:t>
      </w:r>
      <w:r w:rsidR="0027478F" w:rsidRPr="00E56B2D">
        <w:rPr>
          <w:rFonts w:cs="Tahoma"/>
          <w:sz w:val="20"/>
          <w:szCs w:val="20"/>
        </w:rPr>
        <w:t xml:space="preserve">terminie </w:t>
      </w:r>
      <w:r w:rsidR="0027478F" w:rsidRPr="00E56B2D">
        <w:rPr>
          <w:rFonts w:cs="Tahoma"/>
          <w:sz w:val="20"/>
          <w:szCs w:val="20"/>
        </w:rPr>
        <w:br/>
        <w:t>i</w:t>
      </w:r>
      <w:r w:rsidRPr="00E56B2D">
        <w:rPr>
          <w:rFonts w:cs="Tahoma"/>
          <w:sz w:val="20"/>
          <w:szCs w:val="20"/>
        </w:rPr>
        <w:t xml:space="preserve"> miejscu zawarcia umowy sprzedaży, najpóźniej w terminie 21 dni od dnia rozstrzygnięcia przetargu.</w:t>
      </w:r>
    </w:p>
    <w:p w14:paraId="418DA7BA" w14:textId="72E570E6" w:rsidR="004E09A6" w:rsidRPr="004E09A6" w:rsidRDefault="00D80A0F" w:rsidP="004E09A6">
      <w:pPr>
        <w:numPr>
          <w:ilvl w:val="1"/>
          <w:numId w:val="1"/>
        </w:numPr>
        <w:tabs>
          <w:tab w:val="num" w:pos="720"/>
        </w:tabs>
        <w:autoSpaceDE w:val="0"/>
        <w:autoSpaceDN w:val="0"/>
        <w:adjustRightInd w:val="0"/>
        <w:ind w:left="720"/>
        <w:rPr>
          <w:rFonts w:cs="Tahoma"/>
          <w:sz w:val="20"/>
          <w:szCs w:val="20"/>
        </w:rPr>
      </w:pPr>
      <w:r w:rsidRPr="00E56B2D">
        <w:rPr>
          <w:rFonts w:cs="Tahoma"/>
          <w:sz w:val="20"/>
          <w:szCs w:val="20"/>
        </w:rPr>
        <w:t>Z dniem podpisania umowy sprzedaży w formie aktu notarialnego na Nabywcę przechodzą wszelkie ciężary i korzyści związane z nieruchomośc</w:t>
      </w:r>
      <w:r w:rsidR="004E09A6">
        <w:rPr>
          <w:rFonts w:cs="Tahoma"/>
          <w:sz w:val="20"/>
          <w:szCs w:val="20"/>
        </w:rPr>
        <w:t>ią.</w:t>
      </w:r>
    </w:p>
    <w:p w14:paraId="533D0395" w14:textId="2FBFDF98" w:rsidR="00D80A0F" w:rsidRPr="004E09A6" w:rsidRDefault="00D80A0F" w:rsidP="004E09A6">
      <w:pPr>
        <w:numPr>
          <w:ilvl w:val="1"/>
          <w:numId w:val="1"/>
        </w:numPr>
        <w:tabs>
          <w:tab w:val="num" w:pos="720"/>
        </w:tabs>
        <w:autoSpaceDE w:val="0"/>
        <w:autoSpaceDN w:val="0"/>
        <w:adjustRightInd w:val="0"/>
        <w:ind w:left="720"/>
        <w:rPr>
          <w:rFonts w:cs="Tahoma"/>
          <w:sz w:val="20"/>
          <w:szCs w:val="20"/>
        </w:rPr>
      </w:pPr>
      <w:r w:rsidRPr="004E09A6">
        <w:rPr>
          <w:rFonts w:cs="Tahoma"/>
          <w:sz w:val="20"/>
          <w:szCs w:val="20"/>
        </w:rPr>
        <w:t>Uczestnicy przetargu winni:</w:t>
      </w:r>
    </w:p>
    <w:p w14:paraId="66BF3E4C" w14:textId="77777777" w:rsidR="00D80A0F" w:rsidRPr="00E56B2D" w:rsidRDefault="00D80A0F" w:rsidP="00E56B2D">
      <w:pPr>
        <w:numPr>
          <w:ilvl w:val="2"/>
          <w:numId w:val="2"/>
        </w:numPr>
        <w:tabs>
          <w:tab w:val="clear" w:pos="2018"/>
          <w:tab w:val="num" w:pos="900"/>
        </w:tabs>
        <w:autoSpaceDE w:val="0"/>
        <w:autoSpaceDN w:val="0"/>
        <w:adjustRightInd w:val="0"/>
        <w:ind w:left="900" w:hanging="180"/>
        <w:jc w:val="both"/>
        <w:rPr>
          <w:rFonts w:cs="Tahoma"/>
          <w:sz w:val="20"/>
          <w:szCs w:val="20"/>
        </w:rPr>
      </w:pPr>
      <w:r w:rsidRPr="00E56B2D">
        <w:rPr>
          <w:rFonts w:cs="Tahoma"/>
          <w:sz w:val="20"/>
          <w:szCs w:val="20"/>
        </w:rPr>
        <w:t>legitymować się dowodem osobistym, a ponadto w przypadku prowadzenia działalności gospodarczej należy posiadać i przedłożyć komisji przetargowej:</w:t>
      </w:r>
    </w:p>
    <w:p w14:paraId="51C5DB46" w14:textId="2A3753F2" w:rsidR="00D80A0F" w:rsidRPr="00E56B2D" w:rsidRDefault="00D80A0F" w:rsidP="00E56B2D">
      <w:pPr>
        <w:numPr>
          <w:ilvl w:val="3"/>
          <w:numId w:val="2"/>
        </w:numPr>
        <w:tabs>
          <w:tab w:val="clear" w:pos="1211"/>
          <w:tab w:val="num" w:pos="1276"/>
        </w:tabs>
        <w:autoSpaceDE w:val="0"/>
        <w:autoSpaceDN w:val="0"/>
        <w:adjustRightInd w:val="0"/>
        <w:ind w:left="1276" w:hanging="284"/>
        <w:jc w:val="both"/>
        <w:rPr>
          <w:rFonts w:cs="Tahoma"/>
          <w:sz w:val="20"/>
          <w:szCs w:val="20"/>
        </w:rPr>
      </w:pPr>
      <w:r w:rsidRPr="00E56B2D">
        <w:rPr>
          <w:rFonts w:cs="Tahoma"/>
          <w:sz w:val="20"/>
          <w:szCs w:val="20"/>
        </w:rPr>
        <w:t xml:space="preserve">osoby fizyczne – zaświadczenie o wpisie w CEIDG (wydrukowane ze strony internetowej Centralnej Ewidencji i Informacji o Działalności Gospodarczej </w:t>
      </w:r>
      <w:hyperlink r:id="rId10" w:history="1">
        <w:r w:rsidR="000D0D77" w:rsidRPr="000D0D77">
          <w:rPr>
            <w:rStyle w:val="Hipercze"/>
            <w:rFonts w:cs="Tahoma"/>
            <w:sz w:val="20"/>
            <w:szCs w:val="20"/>
          </w:rPr>
          <w:t>https://www.biznes.gov.pl/pl/wyszukiwarka-firm/</w:t>
        </w:r>
      </w:hyperlink>
      <w:r w:rsidRPr="000D0D77">
        <w:rPr>
          <w:rFonts w:cs="Tahoma"/>
          <w:sz w:val="20"/>
          <w:szCs w:val="20"/>
        </w:rPr>
        <w:t>),</w:t>
      </w:r>
    </w:p>
    <w:p w14:paraId="2E79FB53" w14:textId="77777777" w:rsidR="00D80A0F" w:rsidRPr="00E56B2D" w:rsidRDefault="00D80A0F" w:rsidP="00E56B2D">
      <w:pPr>
        <w:numPr>
          <w:ilvl w:val="3"/>
          <w:numId w:val="2"/>
        </w:numPr>
        <w:tabs>
          <w:tab w:val="clear" w:pos="1211"/>
          <w:tab w:val="num" w:pos="1276"/>
        </w:tabs>
        <w:autoSpaceDE w:val="0"/>
        <w:autoSpaceDN w:val="0"/>
        <w:adjustRightInd w:val="0"/>
        <w:ind w:left="1276" w:hanging="284"/>
        <w:jc w:val="both"/>
        <w:rPr>
          <w:rFonts w:cs="Tahoma"/>
          <w:sz w:val="20"/>
          <w:szCs w:val="20"/>
        </w:rPr>
      </w:pPr>
      <w:r w:rsidRPr="00E56B2D">
        <w:rPr>
          <w:rFonts w:cs="Tahoma"/>
          <w:sz w:val="20"/>
          <w:szCs w:val="20"/>
        </w:rPr>
        <w:t xml:space="preserve">osoby prawne - wypis z właściwego rejestru, a w przypadku KRS - informację odpowiadającą odpisowi aktualnemu z Rejestru Przedsiębiorców (wydrukowaną ze strony internetowej Ministerstwa Sprawiedliwości </w:t>
      </w:r>
      <w:hyperlink r:id="rId11" w:history="1">
        <w:r w:rsidRPr="00E56B2D">
          <w:rPr>
            <w:rStyle w:val="Hipercze"/>
            <w:rFonts w:cs="Tahoma"/>
            <w:sz w:val="20"/>
            <w:szCs w:val="20"/>
          </w:rPr>
          <w:t>https://ems.ms.gov.pl</w:t>
        </w:r>
      </w:hyperlink>
      <w:r w:rsidRPr="00E56B2D">
        <w:rPr>
          <w:rFonts w:cs="Tahoma"/>
          <w:sz w:val="20"/>
          <w:szCs w:val="20"/>
        </w:rPr>
        <w:t>) oraz zgodę organów statutowych na nabycie nieruchomości stanowiącej przedmiot przetargu,</w:t>
      </w:r>
    </w:p>
    <w:p w14:paraId="18AB7267" w14:textId="77777777" w:rsidR="00D80A0F" w:rsidRPr="00E56B2D" w:rsidRDefault="00D80A0F" w:rsidP="00E56B2D">
      <w:pPr>
        <w:autoSpaceDE w:val="0"/>
        <w:autoSpaceDN w:val="0"/>
        <w:adjustRightInd w:val="0"/>
        <w:ind w:left="1276"/>
        <w:jc w:val="both"/>
        <w:rPr>
          <w:rFonts w:cs="Tahoma"/>
          <w:sz w:val="20"/>
          <w:szCs w:val="20"/>
        </w:rPr>
      </w:pPr>
      <w:r w:rsidRPr="00E56B2D">
        <w:rPr>
          <w:rFonts w:cs="Tahoma"/>
          <w:sz w:val="20"/>
          <w:szCs w:val="20"/>
        </w:rPr>
        <w:t>- złożyć pisemne oświadczenie o zapoznaniu się z warunkami i przedmiotem przetargu oraz o przyjęciu ich bez zastrzeżeń,</w:t>
      </w:r>
    </w:p>
    <w:p w14:paraId="04508554" w14:textId="77777777" w:rsidR="00D80A0F" w:rsidRPr="00E56B2D" w:rsidRDefault="00D80A0F" w:rsidP="00E56B2D">
      <w:pPr>
        <w:autoSpaceDE w:val="0"/>
        <w:autoSpaceDN w:val="0"/>
        <w:adjustRightInd w:val="0"/>
        <w:ind w:left="1276"/>
        <w:jc w:val="both"/>
        <w:rPr>
          <w:rFonts w:cs="Tahoma"/>
          <w:sz w:val="20"/>
          <w:szCs w:val="20"/>
        </w:rPr>
      </w:pPr>
      <w:r w:rsidRPr="00E56B2D">
        <w:rPr>
          <w:rFonts w:cs="Tahoma"/>
          <w:sz w:val="20"/>
          <w:szCs w:val="20"/>
        </w:rPr>
        <w:t xml:space="preserve">- </w:t>
      </w:r>
      <w:r w:rsidR="0027478F" w:rsidRPr="00E56B2D">
        <w:rPr>
          <w:rFonts w:cs="Tahoma"/>
          <w:sz w:val="20"/>
          <w:szCs w:val="20"/>
        </w:rPr>
        <w:t>złożyć pisemne</w:t>
      </w:r>
      <w:r w:rsidRPr="00E56B2D">
        <w:rPr>
          <w:rFonts w:cs="Tahoma"/>
          <w:sz w:val="20"/>
          <w:szCs w:val="20"/>
        </w:rPr>
        <w:t xml:space="preserve"> oświadczenie, że znany jest im stan prawny i stan zagospodarowania nieruchomości.</w:t>
      </w:r>
    </w:p>
    <w:p w14:paraId="2017ABED"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W przypadku osób fizycznych, które przystępując do przetargu w ramach spółki cywilnej, działają również na rzecz nieuczestniczących w przetargu wspólników, winna zostać przedstawiona zgoda wspólników na nabycie nieruchomości lub umowa spółki uprawniająca wspólnika/wspólników uczestniczących w przetargu do nabywania nieruchomości bez zgody pozostałych wspólników.</w:t>
      </w:r>
    </w:p>
    <w:p w14:paraId="472B76B8"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W przypadku działania poprzez pełnomocnika, pełnomocnik winien ponadto przedłożyć komisji przetargowej oryginał pełnomocnictwa sporządzonego w formie aktu notarialnego</w:t>
      </w:r>
      <w:r w:rsidR="007A30DD" w:rsidRPr="00E56B2D">
        <w:rPr>
          <w:rFonts w:cs="Tahoma"/>
          <w:sz w:val="20"/>
          <w:szCs w:val="20"/>
        </w:rPr>
        <w:t xml:space="preserve"> </w:t>
      </w:r>
      <w:r w:rsidRPr="00E56B2D">
        <w:rPr>
          <w:rFonts w:cs="Tahoma"/>
          <w:sz w:val="20"/>
          <w:szCs w:val="20"/>
        </w:rPr>
        <w:t>lub pełnomocnictwa z notarialnie poświadczonym podpisem.</w:t>
      </w:r>
    </w:p>
    <w:p w14:paraId="69763F97" w14:textId="7825C752"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W przypadku nabywania nieruchomości przez małżonków do wspólności ustawowej, na przetargu winni stawić się oboje małżonkowie lub jeden z małżonków, wraz z oryginałem szczegółowego pełnomocnictwa sporządzonego w formie aktu notarialnego lub pełnomocnictwa z notarialnie poświadczonym podpisem, albo ich pełnomocn</w:t>
      </w:r>
      <w:r w:rsidR="0027478F" w:rsidRPr="00E56B2D">
        <w:rPr>
          <w:rFonts w:cs="Tahoma"/>
          <w:sz w:val="20"/>
          <w:szCs w:val="20"/>
        </w:rPr>
        <w:t>ik wraz</w:t>
      </w:r>
      <w:r w:rsidR="0027478F" w:rsidRPr="00E56B2D">
        <w:rPr>
          <w:rFonts w:cs="Tahoma"/>
          <w:sz w:val="20"/>
          <w:szCs w:val="20"/>
        </w:rPr>
        <w:br/>
      </w:r>
      <w:r w:rsidRPr="00E56B2D">
        <w:rPr>
          <w:rFonts w:cs="Tahoma"/>
          <w:sz w:val="20"/>
          <w:szCs w:val="20"/>
        </w:rPr>
        <w:t>z oryginałami szczegółowych pełnomocnictw obojga małżonków, sporządzonymi w formie aktów notarialnych lub pełnomocnictw z notarialnie poświadczonymi podpisami.</w:t>
      </w:r>
    </w:p>
    <w:p w14:paraId="78728062" w14:textId="77777777" w:rsidR="00D80A0F" w:rsidRPr="00E56B2D" w:rsidRDefault="00D80A0F" w:rsidP="00E56B2D">
      <w:pPr>
        <w:numPr>
          <w:ilvl w:val="1"/>
          <w:numId w:val="1"/>
        </w:numPr>
        <w:tabs>
          <w:tab w:val="num" w:pos="720"/>
        </w:tabs>
        <w:autoSpaceDE w:val="0"/>
        <w:autoSpaceDN w:val="0"/>
        <w:adjustRightInd w:val="0"/>
        <w:ind w:left="720"/>
        <w:jc w:val="both"/>
        <w:rPr>
          <w:rFonts w:cs="Tahoma"/>
          <w:sz w:val="20"/>
          <w:szCs w:val="20"/>
        </w:rPr>
      </w:pPr>
      <w:r w:rsidRPr="00E56B2D">
        <w:rPr>
          <w:rFonts w:cs="Tahoma"/>
          <w:sz w:val="20"/>
          <w:szCs w:val="20"/>
        </w:rPr>
        <w:t>Wszelkie koszty, w tym w szczególności opłaty notarialne i sądowe, związane z zawarciem umowy sprzedaży ponosi Nabywca.</w:t>
      </w:r>
    </w:p>
    <w:p w14:paraId="29F40B16" w14:textId="15DB424A" w:rsidR="00867532" w:rsidRPr="000D0D77" w:rsidRDefault="00D80A0F" w:rsidP="000D0D77">
      <w:pPr>
        <w:numPr>
          <w:ilvl w:val="0"/>
          <w:numId w:val="1"/>
        </w:numPr>
        <w:tabs>
          <w:tab w:val="num" w:pos="398"/>
        </w:tabs>
        <w:autoSpaceDE w:val="0"/>
        <w:autoSpaceDN w:val="0"/>
        <w:adjustRightInd w:val="0"/>
        <w:ind w:left="398"/>
        <w:jc w:val="both"/>
        <w:rPr>
          <w:rFonts w:cs="Tahoma"/>
          <w:sz w:val="20"/>
          <w:szCs w:val="20"/>
        </w:rPr>
      </w:pPr>
      <w:r w:rsidRPr="00E56B2D">
        <w:rPr>
          <w:rFonts w:cs="Tahoma"/>
          <w:b/>
          <w:sz w:val="20"/>
          <w:szCs w:val="20"/>
        </w:rPr>
        <w:t>Zastrzeżenia:</w:t>
      </w:r>
      <w:r w:rsidRPr="00E56B2D">
        <w:rPr>
          <w:rFonts w:cs="Tahoma"/>
          <w:sz w:val="20"/>
          <w:szCs w:val="20"/>
        </w:rPr>
        <w:t xml:space="preserve"> Prezydent Miasta Elbląg może odwołać ogłoszony przetarg jedynie z ważnych powodów, niezwłocznie podając informację o odwołaniu przetargu do publicznej </w:t>
      </w:r>
      <w:r w:rsidR="0027478F" w:rsidRPr="00E56B2D">
        <w:rPr>
          <w:rFonts w:cs="Tahoma"/>
          <w:sz w:val="20"/>
          <w:szCs w:val="20"/>
        </w:rPr>
        <w:t>wiadomości</w:t>
      </w:r>
      <w:r w:rsidR="0027478F" w:rsidRPr="00E56B2D">
        <w:rPr>
          <w:rFonts w:cs="Tahoma"/>
          <w:sz w:val="20"/>
          <w:szCs w:val="20"/>
        </w:rPr>
        <w:br/>
        <w:t>z</w:t>
      </w:r>
      <w:r w:rsidRPr="00E56B2D">
        <w:rPr>
          <w:rFonts w:cs="Tahoma"/>
          <w:sz w:val="20"/>
          <w:szCs w:val="20"/>
        </w:rPr>
        <w:t xml:space="preserve"> poda</w:t>
      </w:r>
      <w:r w:rsidRPr="00E56B2D">
        <w:rPr>
          <w:rFonts w:cs="Tahoma"/>
          <w:sz w:val="20"/>
          <w:szCs w:val="20"/>
        </w:rPr>
        <w:softHyphen/>
        <w:t>niem przyczyny odwołania przetargu.</w:t>
      </w:r>
    </w:p>
    <w:sectPr w:rsidR="00867532" w:rsidRPr="000D0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F9411FC"/>
    <w:name w:val="WW8Num1"/>
    <w:lvl w:ilvl="0">
      <w:start w:val="1"/>
      <w:numFmt w:val="decimal"/>
      <w:lvlText w:val="%1."/>
      <w:lvlJc w:val="left"/>
      <w:pPr>
        <w:tabs>
          <w:tab w:val="num" w:pos="360"/>
        </w:tabs>
        <w:ind w:left="360" w:hanging="360"/>
      </w:pPr>
      <w:rPr>
        <w:rFonts w:ascii="Symbol" w:hAnsi="Symbol" w:cs="Symbo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18"/>
        </w:tabs>
        <w:ind w:left="1118" w:hanging="360"/>
      </w:pPr>
      <w:rPr>
        <w:rFonts w:ascii="Courier New" w:hAnsi="Courier New" w:cs="Courier New"/>
      </w:rPr>
    </w:lvl>
    <w:lvl w:ilvl="2">
      <w:start w:val="1"/>
      <w:numFmt w:val="bullet"/>
      <w:lvlText w:val=""/>
      <w:lvlJc w:val="left"/>
      <w:pPr>
        <w:tabs>
          <w:tab w:val="num" w:pos="2018"/>
        </w:tabs>
        <w:ind w:left="2018" w:hanging="360"/>
      </w:pPr>
      <w:rPr>
        <w:rFonts w:ascii="Symbol" w:hAnsi="Symbol" w:cs="Wingdings"/>
      </w:rPr>
    </w:lvl>
    <w:lvl w:ilvl="3">
      <w:start w:val="1"/>
      <w:numFmt w:val="decimal"/>
      <w:lvlText w:val="%4."/>
      <w:lvlJc w:val="left"/>
      <w:pPr>
        <w:tabs>
          <w:tab w:val="num" w:pos="2558"/>
        </w:tabs>
        <w:ind w:left="2558" w:hanging="360"/>
      </w:pPr>
    </w:lvl>
    <w:lvl w:ilvl="4">
      <w:start w:val="1"/>
      <w:numFmt w:val="lowerLetter"/>
      <w:lvlText w:val="%5."/>
      <w:lvlJc w:val="left"/>
      <w:pPr>
        <w:tabs>
          <w:tab w:val="num" w:pos="3278"/>
        </w:tabs>
        <w:ind w:left="3278" w:hanging="360"/>
      </w:pPr>
    </w:lvl>
    <w:lvl w:ilvl="5">
      <w:start w:val="1"/>
      <w:numFmt w:val="lowerRoman"/>
      <w:lvlText w:val="%6."/>
      <w:lvlJc w:val="left"/>
      <w:pPr>
        <w:tabs>
          <w:tab w:val="num" w:pos="3998"/>
        </w:tabs>
        <w:ind w:left="3998" w:hanging="180"/>
      </w:pPr>
    </w:lvl>
    <w:lvl w:ilvl="6">
      <w:start w:val="1"/>
      <w:numFmt w:val="decimal"/>
      <w:lvlText w:val="%7."/>
      <w:lvlJc w:val="left"/>
      <w:pPr>
        <w:tabs>
          <w:tab w:val="num" w:pos="4718"/>
        </w:tabs>
        <w:ind w:left="4718" w:hanging="360"/>
      </w:pPr>
    </w:lvl>
    <w:lvl w:ilvl="7">
      <w:start w:val="1"/>
      <w:numFmt w:val="lowerLetter"/>
      <w:lvlText w:val="%8."/>
      <w:lvlJc w:val="left"/>
      <w:pPr>
        <w:tabs>
          <w:tab w:val="num" w:pos="5438"/>
        </w:tabs>
        <w:ind w:left="5438" w:hanging="360"/>
      </w:pPr>
    </w:lvl>
    <w:lvl w:ilvl="8">
      <w:start w:val="1"/>
      <w:numFmt w:val="lowerRoman"/>
      <w:lvlText w:val="%9."/>
      <w:lvlJc w:val="left"/>
      <w:pPr>
        <w:tabs>
          <w:tab w:val="num" w:pos="6158"/>
        </w:tabs>
        <w:ind w:left="6158" w:hanging="18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116" w:hanging="360"/>
      </w:pPr>
      <w:rPr>
        <w:rFonts w:ascii="Times New Roman" w:hAnsi="Times New Roman"/>
      </w:rPr>
    </w:lvl>
  </w:abstractNum>
  <w:abstractNum w:abstractNumId="2" w15:restartNumberingAfterBreak="0">
    <w:nsid w:val="221D7324"/>
    <w:multiLevelType w:val="hybridMultilevel"/>
    <w:tmpl w:val="A0964870"/>
    <w:name w:val="WW8Num12"/>
    <w:lvl w:ilvl="0" w:tplc="1CA2D776">
      <w:start w:val="1"/>
      <w:numFmt w:val="decimal"/>
      <w:lvlText w:val="%1."/>
      <w:lvlJc w:val="left"/>
      <w:pPr>
        <w:ind w:left="360" w:hanging="360"/>
      </w:pPr>
      <w:rPr>
        <w:rFonts w:ascii="Tahoma" w:hAnsi="Tahoma"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866415AC">
      <w:start w:val="1"/>
      <w:numFmt w:val="lowerLetter"/>
      <w:lvlText w:val="%2)"/>
      <w:lvlJc w:val="left"/>
      <w:pPr>
        <w:ind w:left="644" w:hanging="360"/>
      </w:pPr>
      <w:rPr>
        <w:rFonts w:ascii="Tahoma" w:eastAsia="Times New Roman" w:hAnsi="Tahoma" w:cs="Tahom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51B41B4"/>
    <w:multiLevelType w:val="hybridMultilevel"/>
    <w:tmpl w:val="FB00DFFC"/>
    <w:lvl w:ilvl="0" w:tplc="E5C095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502" w:hanging="360"/>
      </w:pPr>
      <w:rPr>
        <w:rFonts w:hint="default"/>
      </w:rPr>
    </w:lvl>
    <w:lvl w:ilvl="2" w:tplc="04150001">
      <w:start w:val="1"/>
      <w:numFmt w:val="bullet"/>
      <w:lvlText w:val=""/>
      <w:lvlJc w:val="left"/>
      <w:pPr>
        <w:tabs>
          <w:tab w:val="num" w:pos="2018"/>
        </w:tabs>
        <w:ind w:left="2018" w:hanging="360"/>
      </w:pPr>
      <w:rPr>
        <w:rFonts w:ascii="Symbol" w:hAnsi="Symbol" w:hint="default"/>
      </w:rPr>
    </w:lvl>
    <w:lvl w:ilvl="3" w:tplc="0415000F" w:tentative="1">
      <w:start w:val="1"/>
      <w:numFmt w:val="decimal"/>
      <w:lvlText w:val="%4."/>
      <w:lvlJc w:val="left"/>
      <w:pPr>
        <w:tabs>
          <w:tab w:val="num" w:pos="2558"/>
        </w:tabs>
        <w:ind w:left="2558" w:hanging="360"/>
      </w:pPr>
    </w:lvl>
    <w:lvl w:ilvl="4" w:tplc="04150019" w:tentative="1">
      <w:start w:val="1"/>
      <w:numFmt w:val="lowerLetter"/>
      <w:lvlText w:val="%5."/>
      <w:lvlJc w:val="left"/>
      <w:pPr>
        <w:tabs>
          <w:tab w:val="num" w:pos="3278"/>
        </w:tabs>
        <w:ind w:left="3278" w:hanging="360"/>
      </w:pPr>
    </w:lvl>
    <w:lvl w:ilvl="5" w:tplc="0415001B" w:tentative="1">
      <w:start w:val="1"/>
      <w:numFmt w:val="lowerRoman"/>
      <w:lvlText w:val="%6."/>
      <w:lvlJc w:val="right"/>
      <w:pPr>
        <w:tabs>
          <w:tab w:val="num" w:pos="3998"/>
        </w:tabs>
        <w:ind w:left="3998" w:hanging="180"/>
      </w:pPr>
    </w:lvl>
    <w:lvl w:ilvl="6" w:tplc="0415000F" w:tentative="1">
      <w:start w:val="1"/>
      <w:numFmt w:val="decimal"/>
      <w:lvlText w:val="%7."/>
      <w:lvlJc w:val="left"/>
      <w:pPr>
        <w:tabs>
          <w:tab w:val="num" w:pos="4718"/>
        </w:tabs>
        <w:ind w:left="4718" w:hanging="360"/>
      </w:pPr>
    </w:lvl>
    <w:lvl w:ilvl="7" w:tplc="04150019" w:tentative="1">
      <w:start w:val="1"/>
      <w:numFmt w:val="lowerLetter"/>
      <w:lvlText w:val="%8."/>
      <w:lvlJc w:val="left"/>
      <w:pPr>
        <w:tabs>
          <w:tab w:val="num" w:pos="5438"/>
        </w:tabs>
        <w:ind w:left="5438" w:hanging="360"/>
      </w:pPr>
    </w:lvl>
    <w:lvl w:ilvl="8" w:tplc="0415001B" w:tentative="1">
      <w:start w:val="1"/>
      <w:numFmt w:val="lowerRoman"/>
      <w:lvlText w:val="%9."/>
      <w:lvlJc w:val="right"/>
      <w:pPr>
        <w:tabs>
          <w:tab w:val="num" w:pos="6158"/>
        </w:tabs>
        <w:ind w:left="6158" w:hanging="180"/>
      </w:pPr>
    </w:lvl>
  </w:abstractNum>
  <w:abstractNum w:abstractNumId="4" w15:restartNumberingAfterBreak="0">
    <w:nsid w:val="6E656C23"/>
    <w:multiLevelType w:val="hybridMultilevel"/>
    <w:tmpl w:val="95D23168"/>
    <w:lvl w:ilvl="0" w:tplc="29504CE8">
      <w:start w:val="1"/>
      <w:numFmt w:val="bullet"/>
      <w:lvlText w:val="-"/>
      <w:lvlJc w:val="left"/>
      <w:pPr>
        <w:ind w:left="1068" w:hanging="360"/>
      </w:pPr>
      <w:rPr>
        <w:rFonts w:ascii="Sylfaen" w:hAnsi="Sylfae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72003C4D"/>
    <w:multiLevelType w:val="hybridMultilevel"/>
    <w:tmpl w:val="5CB02B18"/>
    <w:lvl w:ilvl="0" w:tplc="14D0F12E">
      <w:start w:val="2"/>
      <w:numFmt w:val="decimal"/>
      <w:lvlText w:val="%1."/>
      <w:lvlJc w:val="left"/>
      <w:pPr>
        <w:tabs>
          <w:tab w:val="num" w:pos="398"/>
        </w:tabs>
        <w:ind w:left="398" w:hanging="360"/>
      </w:pPr>
      <w:rPr>
        <w:rFonts w:hint="default"/>
      </w:rPr>
    </w:lvl>
    <w:lvl w:ilvl="1" w:tplc="4420F972">
      <w:start w:val="3"/>
      <w:numFmt w:val="lowerLetter"/>
      <w:lvlText w:val="%2)"/>
      <w:lvlJc w:val="left"/>
      <w:pPr>
        <w:tabs>
          <w:tab w:val="num" w:pos="1118"/>
        </w:tabs>
        <w:ind w:left="1118" w:hanging="360"/>
      </w:pPr>
      <w:rPr>
        <w:rFonts w:hint="default"/>
      </w:rPr>
    </w:lvl>
    <w:lvl w:ilvl="2" w:tplc="3164580A">
      <w:start w:val="1"/>
      <w:numFmt w:val="bullet"/>
      <w:lvlText w:val=""/>
      <w:lvlJc w:val="left"/>
      <w:pPr>
        <w:tabs>
          <w:tab w:val="num" w:pos="2018"/>
        </w:tabs>
        <w:ind w:left="2018" w:hanging="360"/>
      </w:pPr>
      <w:rPr>
        <w:rFonts w:ascii="Symbol" w:hAnsi="Symbol" w:hint="default"/>
      </w:rPr>
    </w:lvl>
    <w:lvl w:ilvl="3" w:tplc="04150001">
      <w:start w:val="1"/>
      <w:numFmt w:val="bullet"/>
      <w:lvlText w:val=""/>
      <w:lvlJc w:val="left"/>
      <w:pPr>
        <w:tabs>
          <w:tab w:val="num" w:pos="1211"/>
        </w:tabs>
        <w:ind w:left="1211" w:hanging="360"/>
      </w:pPr>
      <w:rPr>
        <w:rFonts w:ascii="Symbol" w:hAnsi="Symbol" w:hint="default"/>
      </w:rPr>
    </w:lvl>
    <w:lvl w:ilvl="4" w:tplc="04150019" w:tentative="1">
      <w:start w:val="1"/>
      <w:numFmt w:val="lowerLetter"/>
      <w:lvlText w:val="%5."/>
      <w:lvlJc w:val="left"/>
      <w:pPr>
        <w:tabs>
          <w:tab w:val="num" w:pos="3278"/>
        </w:tabs>
        <w:ind w:left="3278" w:hanging="360"/>
      </w:pPr>
    </w:lvl>
    <w:lvl w:ilvl="5" w:tplc="0415001B" w:tentative="1">
      <w:start w:val="1"/>
      <w:numFmt w:val="lowerRoman"/>
      <w:lvlText w:val="%6."/>
      <w:lvlJc w:val="right"/>
      <w:pPr>
        <w:tabs>
          <w:tab w:val="num" w:pos="3998"/>
        </w:tabs>
        <w:ind w:left="3998" w:hanging="180"/>
      </w:pPr>
    </w:lvl>
    <w:lvl w:ilvl="6" w:tplc="0415000F" w:tentative="1">
      <w:start w:val="1"/>
      <w:numFmt w:val="decimal"/>
      <w:lvlText w:val="%7."/>
      <w:lvlJc w:val="left"/>
      <w:pPr>
        <w:tabs>
          <w:tab w:val="num" w:pos="4718"/>
        </w:tabs>
        <w:ind w:left="4718" w:hanging="360"/>
      </w:pPr>
    </w:lvl>
    <w:lvl w:ilvl="7" w:tplc="04150019" w:tentative="1">
      <w:start w:val="1"/>
      <w:numFmt w:val="lowerLetter"/>
      <w:lvlText w:val="%8."/>
      <w:lvlJc w:val="left"/>
      <w:pPr>
        <w:tabs>
          <w:tab w:val="num" w:pos="5438"/>
        </w:tabs>
        <w:ind w:left="5438" w:hanging="360"/>
      </w:pPr>
    </w:lvl>
    <w:lvl w:ilvl="8" w:tplc="0415001B" w:tentative="1">
      <w:start w:val="1"/>
      <w:numFmt w:val="lowerRoman"/>
      <w:lvlText w:val="%9."/>
      <w:lvlJc w:val="right"/>
      <w:pPr>
        <w:tabs>
          <w:tab w:val="num" w:pos="6158"/>
        </w:tabs>
        <w:ind w:left="6158" w:hanging="180"/>
      </w:pPr>
    </w:lvl>
  </w:abstractNum>
  <w:num w:numId="1" w16cid:durableId="1541278672">
    <w:abstractNumId w:val="3"/>
  </w:num>
  <w:num w:numId="2" w16cid:durableId="987132197">
    <w:abstractNumId w:val="5"/>
  </w:num>
  <w:num w:numId="3" w16cid:durableId="434518302">
    <w:abstractNumId w:val="0"/>
  </w:num>
  <w:num w:numId="4" w16cid:durableId="1552888147">
    <w:abstractNumId w:val="1"/>
  </w:num>
  <w:num w:numId="5" w16cid:durableId="2074547272">
    <w:abstractNumId w:val="2"/>
  </w:num>
  <w:num w:numId="6" w16cid:durableId="1366904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0F"/>
    <w:rsid w:val="000073F7"/>
    <w:rsid w:val="00016945"/>
    <w:rsid w:val="000970D2"/>
    <w:rsid w:val="000D0D77"/>
    <w:rsid w:val="000D17E6"/>
    <w:rsid w:val="00164163"/>
    <w:rsid w:val="001A158C"/>
    <w:rsid w:val="00266BCC"/>
    <w:rsid w:val="0027478F"/>
    <w:rsid w:val="00392835"/>
    <w:rsid w:val="003A26B3"/>
    <w:rsid w:val="00417FBE"/>
    <w:rsid w:val="00457021"/>
    <w:rsid w:val="004632BD"/>
    <w:rsid w:val="004E09A6"/>
    <w:rsid w:val="005622E2"/>
    <w:rsid w:val="005C0F33"/>
    <w:rsid w:val="00712FDC"/>
    <w:rsid w:val="0074709A"/>
    <w:rsid w:val="00747F16"/>
    <w:rsid w:val="007A30DD"/>
    <w:rsid w:val="007C3D62"/>
    <w:rsid w:val="007D5AE1"/>
    <w:rsid w:val="007E4AB4"/>
    <w:rsid w:val="007E69A8"/>
    <w:rsid w:val="00834B8A"/>
    <w:rsid w:val="00867532"/>
    <w:rsid w:val="00882A7A"/>
    <w:rsid w:val="008A16C3"/>
    <w:rsid w:val="008B75D0"/>
    <w:rsid w:val="008E0331"/>
    <w:rsid w:val="008E1742"/>
    <w:rsid w:val="0091356A"/>
    <w:rsid w:val="00922253"/>
    <w:rsid w:val="009375BA"/>
    <w:rsid w:val="009E08CF"/>
    <w:rsid w:val="009E2D5D"/>
    <w:rsid w:val="009F316D"/>
    <w:rsid w:val="00A44951"/>
    <w:rsid w:val="00A8578E"/>
    <w:rsid w:val="00A9749F"/>
    <w:rsid w:val="00B03F2B"/>
    <w:rsid w:val="00B577B7"/>
    <w:rsid w:val="00C01806"/>
    <w:rsid w:val="00C35CC9"/>
    <w:rsid w:val="00C540D9"/>
    <w:rsid w:val="00CC5131"/>
    <w:rsid w:val="00D80A0F"/>
    <w:rsid w:val="00D819DE"/>
    <w:rsid w:val="00DA58BB"/>
    <w:rsid w:val="00DE6539"/>
    <w:rsid w:val="00E56B2D"/>
    <w:rsid w:val="00EB4A5B"/>
    <w:rsid w:val="00EC4CEA"/>
    <w:rsid w:val="00F40F58"/>
    <w:rsid w:val="00F93B4C"/>
    <w:rsid w:val="00FB7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58C1"/>
  <w15:docId w15:val="{2F62097A-BF02-46FB-AEEF-3142E16B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0A0F"/>
    <w:pPr>
      <w:spacing w:after="0" w:line="240" w:lineRule="auto"/>
    </w:pPr>
    <w:rPr>
      <w:rFonts w:ascii="Tahoma" w:eastAsia="Times New Roman" w:hAnsi="Tahom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80A0F"/>
    <w:rPr>
      <w:color w:val="0000FF"/>
      <w:u w:val="single"/>
    </w:rPr>
  </w:style>
  <w:style w:type="paragraph" w:styleId="Tekstdymka">
    <w:name w:val="Balloon Text"/>
    <w:basedOn w:val="Normalny"/>
    <w:link w:val="TekstdymkaZnak"/>
    <w:uiPriority w:val="99"/>
    <w:semiHidden/>
    <w:unhideWhenUsed/>
    <w:rsid w:val="00CC51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5131"/>
    <w:rPr>
      <w:rFonts w:ascii="Segoe UI" w:eastAsia="Times New Roman" w:hAnsi="Segoe UI" w:cs="Segoe UI"/>
      <w:sz w:val="18"/>
      <w:szCs w:val="18"/>
      <w:lang w:eastAsia="pl-PL"/>
    </w:rPr>
  </w:style>
  <w:style w:type="paragraph" w:styleId="Tekstpodstawowy">
    <w:name w:val="Body Text"/>
    <w:basedOn w:val="Normalny"/>
    <w:link w:val="TekstpodstawowyZnak"/>
    <w:rsid w:val="00164163"/>
    <w:pPr>
      <w:suppressAutoHyphens/>
      <w:overflowPunct w:val="0"/>
      <w:autoSpaceDE w:val="0"/>
      <w:jc w:val="both"/>
      <w:textAlignment w:val="baseline"/>
    </w:pPr>
    <w:rPr>
      <w:rFonts w:ascii="Times New Roman" w:hAnsi="Times New Roman"/>
      <w:sz w:val="28"/>
      <w:szCs w:val="20"/>
      <w:lang w:eastAsia="ar-SA"/>
    </w:rPr>
  </w:style>
  <w:style w:type="character" w:customStyle="1" w:styleId="TekstpodstawowyZnak">
    <w:name w:val="Tekst podstawowy Znak"/>
    <w:basedOn w:val="Domylnaczcionkaakapitu"/>
    <w:link w:val="Tekstpodstawowy"/>
    <w:rsid w:val="00164163"/>
    <w:rPr>
      <w:rFonts w:ascii="Times New Roman" w:eastAsia="Times New Roman" w:hAnsi="Times New Roman" w:cs="Times New Roman"/>
      <w:sz w:val="28"/>
      <w:szCs w:val="20"/>
      <w:lang w:eastAsia="ar-SA"/>
    </w:rPr>
  </w:style>
  <w:style w:type="paragraph" w:styleId="Akapitzlist">
    <w:name w:val="List Paragraph"/>
    <w:basedOn w:val="Normalny"/>
    <w:uiPriority w:val="34"/>
    <w:qFormat/>
    <w:rsid w:val="00164163"/>
    <w:pPr>
      <w:ind w:left="720"/>
      <w:contextualSpacing/>
    </w:pPr>
  </w:style>
  <w:style w:type="character" w:customStyle="1" w:styleId="WW8Num1z0">
    <w:name w:val="WW8Num1z0"/>
    <w:rsid w:val="00417FBE"/>
    <w:rPr>
      <w:rFonts w:ascii="Symbol" w:hAnsi="Symbol"/>
    </w:rPr>
  </w:style>
  <w:style w:type="character" w:styleId="Nierozpoznanawzmianka">
    <w:name w:val="Unresolved Mention"/>
    <w:basedOn w:val="Domylnaczcionkaakapitu"/>
    <w:uiPriority w:val="99"/>
    <w:semiHidden/>
    <w:unhideWhenUsed/>
    <w:rsid w:val="000D0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elblag.eu/artykul/313/3612/075-mpzp-osiedla-dabrowa-czesc-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nig@umelblag.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elblag.eu/" TargetMode="External"/><Relationship Id="rId11" Type="http://schemas.openxmlformats.org/officeDocument/2006/relationships/hyperlink" Target="https://ems.ms.gov.pl/" TargetMode="External"/><Relationship Id="rId5" Type="http://schemas.openxmlformats.org/officeDocument/2006/relationships/hyperlink" Target="http://www.umelblag.pl" TargetMode="External"/><Relationship Id="rId10" Type="http://schemas.openxmlformats.org/officeDocument/2006/relationships/hyperlink" Target="https://www.biznes.gov.pl/pl/wyszukiwarka-firm/" TargetMode="External"/><Relationship Id="rId4" Type="http://schemas.openxmlformats.org/officeDocument/2006/relationships/webSettings" Target="webSettings.xml"/><Relationship Id="rId9" Type="http://schemas.openxmlformats.org/officeDocument/2006/relationships/hyperlink" Target="https://bip.elblag.eu/sprawa-do-zalatwienia/335/wydawanie-decyzji-w-zakresie-wylaczenia-gruntow-rolnych-z-produkcji-rol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1901</Words>
  <Characters>11410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Malz</dc:creator>
  <cp:lastModifiedBy>Aleksandra Kłos</cp:lastModifiedBy>
  <cp:revision>25</cp:revision>
  <cp:lastPrinted>2016-10-04T14:03:00Z</cp:lastPrinted>
  <dcterms:created xsi:type="dcterms:W3CDTF">2020-04-04T16:30:00Z</dcterms:created>
  <dcterms:modified xsi:type="dcterms:W3CDTF">2024-07-08T09:26:00Z</dcterms:modified>
</cp:coreProperties>
</file>