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20D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56" w:after="0" w:line="276" w:lineRule="auto"/>
        <w:ind w:left="294" w:right="300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Ogłoszenie o naborze wniosków o dofinansowanie w ramach II naboru do Programu Priorytetowego „Ciepłe Mieszkanie” w Gminie Miasto Elbląg</w:t>
      </w:r>
    </w:p>
    <w:p w14:paraId="6D9B626F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D1C23F2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5"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B9C0336" w14:textId="479655E6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 w:right="113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Gmina Miasto Elbląg ogłasza, iż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od dnia </w:t>
      </w:r>
      <w:r w:rsidR="00E766D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02.07.2024</w:t>
      </w:r>
      <w:r w:rsidR="0028707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roku rozpoczęty zostaje nabór wniosków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o dofinansowanie dla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beneficjentów będących najemcami lokali mieszkalnych stanowiących własność gminy położonych w budynkach wielorodzinnych, zlokalizowanych na terenie Gminy Miasto Elbląg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ramach Programu istnieje możliwość dofinansowania przedsięwzięć rozpoczętych nie wcześniej niż od dnia podpisania z Gminą Miasto Elbląg umowy na dofinansowanie przedsięwzięcia w ramach II naboru do Programu Priorytetowego „Ciepłe Mieszkanie” w Gminie Miasto Elbląg.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Termin zakończenia realizacji przedsięwzięcia: nie później niż do 31.12.2025 roku, przy czym nabór wniosków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  <w:t>i podpisywanie umów z Gminą będą realizowane do dnia 30.06.2025 roku .</w:t>
      </w:r>
    </w:p>
    <w:p w14:paraId="6B33F1AD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2CB697E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Wnioski mogą składać Beneficjenci uprawnieni do podstawowego, podwyższonego lub najwyższego poziomu dofinansowania.</w:t>
      </w:r>
    </w:p>
    <w:p w14:paraId="109AD321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A24FFD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Kto może skorzystać z dofinansowania?</w:t>
      </w:r>
    </w:p>
    <w:p w14:paraId="53E35CD3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46CE22B" w14:textId="77777777" w:rsidR="00F032CA" w:rsidRPr="00F032CA" w:rsidRDefault="00F032CA" w:rsidP="00F032CA">
      <w:pPr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adjustRightInd w:val="0"/>
        <w:spacing w:after="0" w:line="276" w:lineRule="auto"/>
        <w:ind w:hanging="23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Beneficjenci końcowi uprawnieni do podstawowego poziomu dofinansowania:</w:t>
      </w:r>
    </w:p>
    <w:p w14:paraId="702D6B74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9802732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right="1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Beneficjentem końcowym jest osoba fizyczna posiadająca tytuł prawny do lokalu mieszkalnego znajdującego się w budynku mieszkalnym wielorodzinnym wynikający z najmu lokalu 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gminy, realizująca przedsięwzięcie będące przedmiotem dofinansowania, o dochodzie rocznym nieprzekraczającym kwoty 135 000 zł:</w:t>
      </w:r>
    </w:p>
    <w:p w14:paraId="646C6BEC" w14:textId="77777777" w:rsidR="00F032CA" w:rsidRPr="00F032CA" w:rsidRDefault="00F032CA" w:rsidP="00F032C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11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stanowiącym podstawę obliczenia podatku, wykazanym w ostatnio złożonym zeznaniu podatkowym zgodnie z ustawą o podatku dochodowym od osób fizycznych;</w:t>
      </w:r>
    </w:p>
    <w:p w14:paraId="2E7536DE" w14:textId="77777777" w:rsidR="00F032CA" w:rsidRPr="00F032CA" w:rsidRDefault="00F032CA" w:rsidP="00F032CA">
      <w:pPr>
        <w:widowControl w:val="0"/>
        <w:numPr>
          <w:ilvl w:val="1"/>
          <w:numId w:val="1"/>
        </w:numPr>
        <w:tabs>
          <w:tab w:val="left" w:pos="1403"/>
        </w:tabs>
        <w:autoSpaceDE w:val="0"/>
        <w:autoSpaceDN w:val="0"/>
        <w:adjustRightInd w:val="0"/>
        <w:spacing w:after="0" w:line="276" w:lineRule="auto"/>
        <w:ind w:left="709"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ustalonym:</w:t>
      </w:r>
    </w:p>
    <w:p w14:paraId="61C6BF55" w14:textId="77777777" w:rsidR="00F032CA" w:rsidRPr="00F032CA" w:rsidRDefault="00F032CA" w:rsidP="00F032C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993" w:right="114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 wartościami określonymi w załączniku do obwieszczenia ministra właściwego do spraw rodziny w sprawie wysokości dochodu za dany rok z działalności podlegającej opodatkowaniu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na podstawie przepisów o zryczałtowanym podatku dochodowym od niektórych przychodów osiąganych przez osoby fizyczne, obowiązującego na dzień złożenia wniosku oraz</w:t>
      </w:r>
    </w:p>
    <w:p w14:paraId="20A7142B" w14:textId="77777777" w:rsidR="00F032CA" w:rsidRPr="00F032CA" w:rsidRDefault="00F032CA" w:rsidP="00F032C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993" w:right="110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44BD8BDD" w14:textId="77777777" w:rsidR="00F032CA" w:rsidRPr="00F032CA" w:rsidRDefault="00F032CA" w:rsidP="00F032C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11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tytułu prowadzenia gospodarstwa rolnego, przyjmując, że z 1 ha przeliczeniowego uzyskuje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się dochód roczny w wysokości dochodu ogłaszanego corocznie, w drodze obwieszczenia Prezesa Głównego Urzędu Statystycznego na podstawie ustawy o podatku rolnym, obowiązującego na dzień złożenia wniosku o dofinansowanie;</w:t>
      </w:r>
    </w:p>
    <w:p w14:paraId="36AB79BF" w14:textId="77777777" w:rsidR="00F032CA" w:rsidRPr="00F032CA" w:rsidRDefault="00F032CA" w:rsidP="00F032C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11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niepodlegającym opodatkowaniu na podstawie przepisów o podatku dochodowym od osób fizycznych i mieszczącym się pod względem rodzaju w katalogu zawartym w art. 3 lit. c) ustawy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 świadczeniach rodzinnych, osiągniętym w roku kalendarzowym poprzedzającym rok złożenia wniosku o dofinansowanie, wykazanym w odpowiednim dokumencie.</w:t>
      </w:r>
    </w:p>
    <w:p w14:paraId="6B6A73C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57" w:after="0" w:line="276" w:lineRule="auto"/>
        <w:ind w:right="1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W przypadku uzyskiwania dochodów z różnych źródeł określonych powyżej w lit. a) - d), dochody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te sumuje się, przy czym suma ta nie może przekroczyć kwoty 135 000 zł.</w:t>
      </w:r>
    </w:p>
    <w:p w14:paraId="6DE82F2B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F668652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right="11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Intensywność dofinansowania: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30% faktycznie poniesionych kosztów kwalifikowanych przedsięwzięcia realizowanego przez beneficjenta końcowego, nie więcej niż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16 500,00 zł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 jeden lokal mieszkalny.</w:t>
      </w:r>
    </w:p>
    <w:p w14:paraId="1B3BE1D1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52C34D" w14:textId="77777777" w:rsidR="00F032CA" w:rsidRPr="00F032CA" w:rsidRDefault="00F032CA" w:rsidP="00F032C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Beneficjenci końcowi uprawnieni do podwyższonego poziomu dofinansowania:</w:t>
      </w:r>
    </w:p>
    <w:p w14:paraId="791B3989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</w:pPr>
    </w:p>
    <w:p w14:paraId="247B316F" w14:textId="77777777" w:rsidR="00F032CA" w:rsidRPr="00F032CA" w:rsidRDefault="00F032CA" w:rsidP="00F032CA">
      <w:pPr>
        <w:widowControl w:val="0"/>
        <w:tabs>
          <w:tab w:val="left" w:pos="1134"/>
        </w:tabs>
        <w:autoSpaceDE w:val="0"/>
        <w:autoSpaceDN w:val="0"/>
        <w:adjustRightInd w:val="0"/>
        <w:spacing w:before="1" w:after="0" w:line="276" w:lineRule="auto"/>
        <w:ind w:right="11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Beneficjentem końcowym jest osoba fizyczna posiadająca tytuł prawny do lokalu mieszkalnego znajdującego się w budynku mieszkalnym wielorodzinnym wynikający z najmu lokalu 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gminy, realizująca przedsięwzięcie będące przedmiotem dofinansowania, której przeciętny miesięczny dochód na jednego członka jej gospodarstwa domowego wskazany w zaświadczeniu wydawanym na zasadach określonych w art. 411 ust. 10g ustawy – Prawo ochrony środowiska, nie przekracza kwoty:</w:t>
      </w:r>
    </w:p>
    <w:p w14:paraId="2524421F" w14:textId="77777777" w:rsidR="00F032CA" w:rsidRPr="00F032CA" w:rsidRDefault="00F032CA" w:rsidP="00F032C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1 894 zł w gospodarstwie wieloosobowym,</w:t>
      </w:r>
    </w:p>
    <w:p w14:paraId="7B096E15" w14:textId="77777777" w:rsidR="00F032CA" w:rsidRPr="00F032CA" w:rsidRDefault="00F032CA" w:rsidP="00F032C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" w:after="0" w:line="276" w:lineRule="auto"/>
        <w:ind w:left="851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2 651 zł w gospodarstwie jednoosobowym.</w:t>
      </w:r>
    </w:p>
    <w:p w14:paraId="33D11F21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A4066F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ind w:right="1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 przypadku prowadzenia działalności gospodarczej, roczny przychód osoby fizycznej, z tytułu prowadzenia pozarolniczej działalności gospodarczej za rok kalendarzowy, 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</w:t>
      </w:r>
    </w:p>
    <w:p w14:paraId="4797BB2C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1" w:after="0"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2F461BA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right="1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Intensywność dofinansowania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60% faktycznie poniesionych kosztów kwalifikowanych przedsięwzięcia realizowanego przez beneficjenta końcowego, nie więcej niż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27 500,00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zł na jeden lokal mieszkalny.</w:t>
      </w:r>
    </w:p>
    <w:p w14:paraId="1455CEC6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AEA503B" w14:textId="77777777" w:rsidR="00F032CA" w:rsidRPr="00F032CA" w:rsidRDefault="00F032CA" w:rsidP="00F032C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284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Beneficjenci końcowi uprawnieni do najwyższego poziomu dofinansowania:</w:t>
      </w:r>
    </w:p>
    <w:p w14:paraId="4A14BA27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0" w:after="0" w:line="276" w:lineRule="auto"/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</w:pPr>
    </w:p>
    <w:p w14:paraId="18365864" w14:textId="77777777" w:rsidR="00F032CA" w:rsidRPr="00F032CA" w:rsidRDefault="00F032CA" w:rsidP="00F032CA">
      <w:pPr>
        <w:widowControl w:val="0"/>
        <w:tabs>
          <w:tab w:val="left" w:pos="1174"/>
        </w:tabs>
        <w:autoSpaceDE w:val="0"/>
        <w:autoSpaceDN w:val="0"/>
        <w:adjustRightInd w:val="0"/>
        <w:spacing w:before="1" w:after="0" w:line="276" w:lineRule="auto"/>
        <w:ind w:right="11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Beneficjentem końcowym jest osoba fizyczna posiadająca tytuł prawny do lokalu mieszkalnego znajdującego się w budynku mieszkalnym wielorodzinnym wynikający z najmu lokalu 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gminy, realizująca przedsięwzięcie będące przedmiotem dofinansowania, której przeciętny miesięczny dochód na jednego członka jej gospodarstwa domowego wskazany w zaświadczeniu wydawanym na zasadach określonych w art. 411 ust. 10g ustawy – Prawo ochrony środowiska, nie przekracza kwoty:</w:t>
      </w:r>
    </w:p>
    <w:p w14:paraId="77E9AF38" w14:textId="77777777" w:rsidR="00F032CA" w:rsidRPr="00F032CA" w:rsidRDefault="00F032CA" w:rsidP="00F032C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1 090 zł w gospodarstwie wieloosobowym,</w:t>
      </w:r>
    </w:p>
    <w:p w14:paraId="5AF3EEB4" w14:textId="77777777" w:rsidR="00F032CA" w:rsidRPr="00F032CA" w:rsidRDefault="00F032CA" w:rsidP="00F032CA">
      <w:pPr>
        <w:widowControl w:val="0"/>
        <w:numPr>
          <w:ilvl w:val="2"/>
          <w:numId w:val="1"/>
        </w:numPr>
        <w:tabs>
          <w:tab w:val="left" w:pos="1893"/>
        </w:tabs>
        <w:autoSpaceDE w:val="0"/>
        <w:autoSpaceDN w:val="0"/>
        <w:adjustRightInd w:val="0"/>
        <w:spacing w:after="0" w:line="276" w:lineRule="auto"/>
        <w:ind w:left="851" w:hanging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1 526 zł w gospodarstwie jednoosobowym</w:t>
      </w:r>
    </w:p>
    <w:p w14:paraId="5B1956DE" w14:textId="77777777" w:rsidR="00F032CA" w:rsidRPr="00F032CA" w:rsidRDefault="00F032CA" w:rsidP="00F032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lub ma ustalone prawo do otrzymywania zasiłku stałego, zasiłku okresowego, zasiłku rodzinnego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oraz co najmniej do dnia złożenia wniosku o dofinansowanie. </w:t>
      </w:r>
    </w:p>
    <w:p w14:paraId="76265691" w14:textId="77777777" w:rsidR="00F032CA" w:rsidRPr="00F032CA" w:rsidRDefault="00F032CA" w:rsidP="00F032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D3E34D" w14:textId="77777777" w:rsidR="00F032CA" w:rsidRPr="00F032CA" w:rsidRDefault="00F032CA" w:rsidP="00F032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prowadzenia działalności gospodarczej przez osobę, która przedstawiła zaświadczenie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grudniu roku poprzedzającego rok złożenia wniosku o dofinansowanie.</w:t>
      </w:r>
    </w:p>
    <w:p w14:paraId="56C3C6BB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ABD1E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ind w:right="11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Intensywność dofinansowania: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90% faktycznie poniesionych kosztów kwalifikowanych przedsięwzięcia realizowanego przez beneficjenta końcowego, nie więcej niż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41 000,00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zł na jeden lokal mieszkalny.</w:t>
      </w:r>
    </w:p>
    <w:p w14:paraId="6DA00F7C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0" w:after="0" w:line="276" w:lineRule="auto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07F0B53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Na co należy przeznaczyć dofinansowanie?</w:t>
      </w:r>
    </w:p>
    <w:p w14:paraId="14E22B9F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3B03CA4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Wymagany jest demontaż wszystkich nieefektywnych źródeł ciepła na paliwa stałe służących </w:t>
      </w: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  <w:t>do ogrzewania lokalu mieszkalnego.</w:t>
      </w:r>
    </w:p>
    <w:p w14:paraId="5B133D2A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C1E491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Program wspiera zastosowanie:</w:t>
      </w:r>
    </w:p>
    <w:p w14:paraId="00E64F6C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819CD5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kotła gazowego kondensacyjnego,</w:t>
      </w:r>
    </w:p>
    <w:p w14:paraId="6D6A4C80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kotła na </w:t>
      </w:r>
      <w:proofErr w:type="spellStart"/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pellet</w:t>
      </w:r>
      <w:proofErr w:type="spellEnd"/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drzewny o podwyższonym standardzie,</w:t>
      </w:r>
    </w:p>
    <w:p w14:paraId="2205CDE4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kotła zgazowującego drewno o podwyższonym standardzie</w:t>
      </w:r>
    </w:p>
    <w:p w14:paraId="53B8579A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ogrzewania elektrycznego,</w:t>
      </w:r>
    </w:p>
    <w:p w14:paraId="62059C7D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"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pompy ciepła powietrze/woda lub pompy ciepła powietrze/powietrze</w:t>
      </w:r>
    </w:p>
    <w:p w14:paraId="0C5156AF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26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podłączenie lokalu do wspólnego efektywnego źródła ciepła.</w:t>
      </w:r>
    </w:p>
    <w:p w14:paraId="277720F0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3754DB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Dodatkowo istnieje możliwość wykonania:</w:t>
      </w:r>
    </w:p>
    <w:p w14:paraId="05BF1BD8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1" w:after="0" w:line="276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0F9BEF7C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instalacji centralnego ogrzewania i ciepłej wody użytkowej w lokalu mieszkalnym,</w:t>
      </w:r>
    </w:p>
    <w:p w14:paraId="6C3F1C7F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" w:after="0" w:line="276" w:lineRule="auto"/>
        <w:ind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instalacji gazowej od przyłącza gazowego / zbiornika na gaz do kotła,</w:t>
      </w:r>
    </w:p>
    <w:p w14:paraId="4C3513AB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right="1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wymiany okien i drzwi oddzielających lokal od przestrzeni nieogrzewanej lub środowiska zewnętrznego,</w:t>
      </w:r>
    </w:p>
    <w:p w14:paraId="2B4077BD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after="0" w:line="276" w:lineRule="auto"/>
        <w:ind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wentylacji mechanicznej z odzyskiem ciepła w lokalu mieszkalnym,</w:t>
      </w:r>
    </w:p>
    <w:p w14:paraId="633E67B9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" w:after="0" w:line="276" w:lineRule="auto"/>
        <w:ind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dokumentacji projektowej dotyczącej powyższego zakresu.</w:t>
      </w:r>
    </w:p>
    <w:p w14:paraId="6C1E0AC8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908E0B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96" w:after="0" w:line="276" w:lineRule="auto"/>
        <w:ind w:left="116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Minimalne wymagania techniczne w Programie:</w:t>
      </w:r>
    </w:p>
    <w:p w14:paraId="5FA631B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5CDD44F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" w:after="0" w:line="276" w:lineRule="auto"/>
        <w:ind w:right="11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Wszystkie urządzenia oraz materiały muszą być fabrycznie nowe, dopuszczone do obrotu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oraz w przypadku gdy wynika to z obowiązujących przepisów prawa – posiadać deklaracje zgodności urządzeń z przepisami z zakresu bezpieczeństwa produktu (oznaczenia „CE” lub „B”).</w:t>
      </w:r>
    </w:p>
    <w:p w14:paraId="44568F39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01" w:after="0" w:line="276" w:lineRule="auto"/>
        <w:ind w:right="11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Jeżeli wynika to z przepisów prawa, usługi muszą być wykonane przez osoby lub podmioty posiadające stosowne uprawienia i pozwolenia oraz przeprowadzone zgodnie z obowiązującym prawem i normami.</w:t>
      </w:r>
    </w:p>
    <w:p w14:paraId="47C1643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12E31AC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116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Gdzie należy składać wnioski?</w:t>
      </w:r>
    </w:p>
    <w:p w14:paraId="44348D51" w14:textId="77777777" w:rsidR="00F032CA" w:rsidRPr="00F032CA" w:rsidRDefault="00F032CA" w:rsidP="00F032CA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adjustRightInd w:val="0"/>
        <w:spacing w:before="180" w:after="0" w:line="276" w:lineRule="auto"/>
        <w:ind w:hanging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formie papierowej: Urząd Miejski w Elblągu ul. Łączności 1 , 82- 300 Elbląg, </w:t>
      </w:r>
    </w:p>
    <w:p w14:paraId="2F1E439A" w14:textId="77777777" w:rsidR="00F032CA" w:rsidRPr="00F032CA" w:rsidRDefault="00F032CA" w:rsidP="00F032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3" w:after="0" w:line="276" w:lineRule="auto"/>
        <w:ind w:right="11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formie elektronicznej: przez skrzynkę podawczą Gminy Elbląg znajdującą się na elektronicznej Platformie Usług Administracji Publicznej ADRES SKRYTKI </w:t>
      </w:r>
      <w:proofErr w:type="spellStart"/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ePUAP</w:t>
      </w:r>
      <w:proofErr w:type="spellEnd"/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3714495B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83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/974x3yyiku/</w:t>
      </w:r>
      <w:proofErr w:type="spellStart"/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SkrytkaESP</w:t>
      </w:r>
      <w:proofErr w:type="spellEnd"/>
    </w:p>
    <w:p w14:paraId="204EFCCE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9"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1452F06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476" w:right="11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Szczegółowe informacje o składaniu i rozpatrywaniu wniosków o dofinansowanie zawarte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br/>
        <w:t>są w Regulaminie naboru wniosków o dofinansowanie przedsięwzięć w ramach II naboru do Programu Priorytetowego „Ciepłe Mieszkanie” w Gminie Miasto Elbląg na lata 2024-2025.</w:t>
      </w:r>
    </w:p>
    <w:p w14:paraId="2629B7E6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980A74E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79" w:after="0" w:line="276" w:lineRule="auto"/>
        <w:ind w:left="476"/>
        <w:jc w:val="both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Dane kontaktowe w ramach prowadzonego naboru wniosków:</w:t>
      </w:r>
    </w:p>
    <w:p w14:paraId="479F3061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6"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10FD94C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476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F032CA">
        <w:rPr>
          <w:rFonts w:ascii="Calibri" w:eastAsia="Times New Roman" w:hAnsi="Calibri" w:cs="Calibri"/>
          <w:kern w:val="0"/>
          <w:lang w:val="en-US"/>
          <w14:ligatures w14:val="none"/>
        </w:rPr>
        <w:t xml:space="preserve">Tel.: 55 239 31 10 </w:t>
      </w:r>
      <w:r w:rsidRPr="00F032CA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, </w:t>
      </w:r>
      <w:r w:rsidRPr="00F032CA">
        <w:rPr>
          <w:rFonts w:ascii="Calibri" w:eastAsia="Times New Roman" w:hAnsi="Calibri" w:cs="Calibri"/>
          <w:kern w:val="0"/>
          <w:lang w:val="en-US"/>
          <w14:ligatures w14:val="none"/>
        </w:rPr>
        <w:t>55 239 33 43</w:t>
      </w:r>
      <w:r w:rsidRPr="00F032CA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 </w:t>
      </w:r>
      <w:r w:rsidRPr="00F032CA">
        <w:rPr>
          <w:rFonts w:ascii="Calibri" w:eastAsia="Times New Roman" w:hAnsi="Calibri" w:cs="Calibri"/>
          <w:kern w:val="0"/>
          <w:lang w:val="en-US"/>
          <w14:ligatures w14:val="none"/>
        </w:rPr>
        <w:t xml:space="preserve">e-mail: </w:t>
      </w:r>
      <w:hyperlink r:id="rId7" w:history="1">
        <w:r w:rsidRPr="00F032CA">
          <w:rPr>
            <w:rFonts w:ascii="Calibri" w:eastAsia="Times New Roman" w:hAnsi="Calibri" w:cs="Calibri"/>
            <w:color w:val="0563C1" w:themeColor="hyperlink"/>
            <w:kern w:val="0"/>
            <w:u w:val="single"/>
            <w:lang w:val="en-US"/>
            <w14:ligatures w14:val="none"/>
          </w:rPr>
          <w:t>cieplemieszkanie@umelblag.pl</w:t>
        </w:r>
      </w:hyperlink>
    </w:p>
    <w:p w14:paraId="18100D35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10" w:after="0" w:line="276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3AD76081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47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Informacje niezbędne do sprawnego wypełnienia wniosku:</w:t>
      </w:r>
    </w:p>
    <w:p w14:paraId="739DFBD1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180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Imię, nazwisko, PESEL, tel. kontaktowy, adres zamieszkania, adres e-mail wnioskodawcy</w:t>
      </w:r>
    </w:p>
    <w:p w14:paraId="0ED281A8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Imię, nazwisko, PESEL, adres zamieszkania współmałżonka (jeśli dotyczy).</w:t>
      </w:r>
    </w:p>
    <w:p w14:paraId="3CC4BFE8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Adres zamieszkania/przedsięwzięcia.</w:t>
      </w:r>
    </w:p>
    <w:p w14:paraId="6302F1C2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Numer rachunku bankowego.</w:t>
      </w:r>
    </w:p>
    <w:p w14:paraId="03018E73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19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Powierzchnia lokalu mieszkalnego.</w:t>
      </w:r>
    </w:p>
    <w:p w14:paraId="6DC285A0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3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Informacje o uzyskanym dochodzie za poprzedni rok podatkowy Wnioskodawcy (np. z PIT,</w:t>
      </w:r>
    </w:p>
    <w:p w14:paraId="5A8D3FA4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before="22" w:after="0" w:line="276" w:lineRule="auto"/>
        <w:ind w:left="11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ilość ha przeliczeniowego itp. itd.).</w:t>
      </w:r>
    </w:p>
    <w:p w14:paraId="77CF525D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1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Rodzaj dotychczasowego źródła ciepła i ich ilość.</w:t>
      </w:r>
    </w:p>
    <w:p w14:paraId="6797A72E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0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 przypadku wymiany stolarki okiennej i/lub drzwiowej – ilość okien/drzwi.</w:t>
      </w:r>
    </w:p>
    <w:p w14:paraId="3FF5710B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right="1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proofErr w:type="spellStart"/>
      <w:r w:rsidRPr="00F032CA">
        <w:rPr>
          <w:rFonts w:ascii="Calibri" w:eastAsia="Times New Roman" w:hAnsi="Calibri" w:cs="Calibri"/>
          <w:kern w:val="0"/>
          <w:lang w:val="en-US"/>
          <w14:ligatures w14:val="none"/>
        </w:rPr>
        <w:t>Zaświadczenie</w:t>
      </w:r>
      <w:proofErr w:type="spellEnd"/>
      <w:r w:rsidRPr="00F032C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wydane na zasadach określonych w art. 411 ust. 10g ustawy - Prawo ochrony środowiska – w przypadku beneficjenta uprawnionego do podwyższonego lub najwyższego poziomu dofinansowania nie starsze niż 3 miesiące i wystawione nie później niż data złożenia wniosku.</w:t>
      </w:r>
    </w:p>
    <w:p w14:paraId="45FE8AF6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right="1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Kopia umowy najmu lokalu mieszkalnego stanowiącego własność gminy.</w:t>
      </w:r>
    </w:p>
    <w:p w14:paraId="5125E2A5" w14:textId="77777777" w:rsidR="00F032CA" w:rsidRPr="00F032CA" w:rsidRDefault="00F032CA" w:rsidP="00F032CA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right="11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Pisemna zgoda Gminy na realizację przedsięwzięcia.</w:t>
      </w:r>
    </w:p>
    <w:p w14:paraId="3574C7A2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1B56B6" w14:textId="77777777" w:rsidR="00F032CA" w:rsidRPr="00F032CA" w:rsidRDefault="00F032CA" w:rsidP="00F032CA">
      <w:pPr>
        <w:widowControl w:val="0"/>
        <w:autoSpaceDE w:val="0"/>
        <w:autoSpaceDN w:val="0"/>
        <w:adjustRightInd w:val="0"/>
        <w:spacing w:after="0" w:line="276" w:lineRule="auto"/>
        <w:ind w:left="83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Załączniki:</w:t>
      </w:r>
    </w:p>
    <w:p w14:paraId="1FDA5B30" w14:textId="77777777" w:rsidR="00F032CA" w:rsidRPr="00F032CA" w:rsidRDefault="00F032CA" w:rsidP="00F032CA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adjustRightInd w:val="0"/>
        <w:spacing w:before="180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Program „Ciepłe Mieszkanie”.</w:t>
      </w:r>
    </w:p>
    <w:p w14:paraId="16E8F677" w14:textId="77777777" w:rsidR="00F032CA" w:rsidRPr="00F032CA" w:rsidRDefault="00F032CA" w:rsidP="00F032CA">
      <w:pPr>
        <w:widowControl w:val="0"/>
        <w:numPr>
          <w:ilvl w:val="0"/>
          <w:numId w:val="4"/>
        </w:numPr>
        <w:tabs>
          <w:tab w:val="left" w:pos="1197"/>
        </w:tabs>
        <w:autoSpaceDE w:val="0"/>
        <w:autoSpaceDN w:val="0"/>
        <w:adjustRightInd w:val="0"/>
        <w:spacing w:before="22" w:after="0" w:line="276" w:lineRule="auto"/>
        <w:ind w:hanging="36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032CA">
        <w:rPr>
          <w:rFonts w:ascii="Calibri" w:eastAsia="Times New Roman" w:hAnsi="Calibri" w:cs="Calibri"/>
          <w:kern w:val="0"/>
          <w:lang w:eastAsia="pl-PL"/>
          <w14:ligatures w14:val="none"/>
        </w:rPr>
        <w:t>Minimalne wymagania techniczne w Programie „Ciepłe Mieszkanie"</w:t>
      </w:r>
    </w:p>
    <w:p w14:paraId="3ECBD65C" w14:textId="77777777" w:rsidR="00F3098E" w:rsidRDefault="00F3098E"/>
    <w:sectPr w:rsidR="00F3098E" w:rsidSect="00F032CA">
      <w:headerReference w:type="default" r:id="rId8"/>
      <w:footerReference w:type="default" r:id="rId9"/>
      <w:pgSz w:w="11910" w:h="16840"/>
      <w:pgMar w:top="1440" w:right="1080" w:bottom="1440" w:left="1080" w:header="39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3AF5" w14:textId="77777777" w:rsidR="00287079" w:rsidRDefault="00287079">
      <w:pPr>
        <w:spacing w:after="0" w:line="240" w:lineRule="auto"/>
      </w:pPr>
      <w:r>
        <w:separator/>
      </w:r>
    </w:p>
  </w:endnote>
  <w:endnote w:type="continuationSeparator" w:id="0">
    <w:p w14:paraId="40A976C7" w14:textId="77777777" w:rsidR="00287079" w:rsidRDefault="002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7611" w14:textId="77777777" w:rsidR="00F032CA" w:rsidRDefault="00F032CA">
    <w:pPr>
      <w:pStyle w:val="Stopka"/>
      <w:widowControl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52434848" w14:textId="77777777" w:rsidR="00F032CA" w:rsidRDefault="00F032CA">
    <w:pPr>
      <w:pStyle w:val="Stopka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66B1" w14:textId="77777777" w:rsidR="00287079" w:rsidRDefault="00287079">
      <w:pPr>
        <w:spacing w:after="0" w:line="240" w:lineRule="auto"/>
      </w:pPr>
      <w:r>
        <w:separator/>
      </w:r>
    </w:p>
  </w:footnote>
  <w:footnote w:type="continuationSeparator" w:id="0">
    <w:p w14:paraId="52AC3497" w14:textId="77777777" w:rsidR="00287079" w:rsidRDefault="002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E549" w14:textId="77777777" w:rsidR="00F032CA" w:rsidRDefault="00F032CA">
    <w:pPr>
      <w:pStyle w:val="Tekstpodstawowy"/>
      <w:widowControl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40D0"/>
    <w:multiLevelType w:val="hybridMultilevel"/>
    <w:tmpl w:val="FFFFFFFF"/>
    <w:lvl w:ilvl="0" w:tplc="B4FA7CAE">
      <w:start w:val="1"/>
      <w:numFmt w:val="decimal"/>
      <w:lvlText w:val="%1."/>
      <w:lvlJc w:val="left"/>
      <w:pPr>
        <w:ind w:left="1196" w:hanging="360"/>
      </w:pPr>
      <w:rPr>
        <w:sz w:val="22"/>
        <w:szCs w:val="22"/>
      </w:rPr>
    </w:lvl>
    <w:lvl w:ilvl="1" w:tplc="91F04184">
      <w:start w:val="1"/>
      <w:numFmt w:val="bullet"/>
      <w:lvlText w:val="•"/>
      <w:lvlJc w:val="left"/>
      <w:pPr>
        <w:ind w:left="2010" w:hanging="360"/>
      </w:pPr>
    </w:lvl>
    <w:lvl w:ilvl="2" w:tplc="E3523CC8">
      <w:start w:val="1"/>
      <w:numFmt w:val="bullet"/>
      <w:lvlText w:val="•"/>
      <w:lvlJc w:val="left"/>
      <w:pPr>
        <w:ind w:left="2821" w:hanging="360"/>
      </w:pPr>
    </w:lvl>
    <w:lvl w:ilvl="3" w:tplc="3124AC1E">
      <w:start w:val="1"/>
      <w:numFmt w:val="bullet"/>
      <w:lvlText w:val="•"/>
      <w:lvlJc w:val="left"/>
      <w:pPr>
        <w:ind w:left="3631" w:hanging="360"/>
      </w:pPr>
    </w:lvl>
    <w:lvl w:ilvl="4" w:tplc="8B9C4B08">
      <w:start w:val="1"/>
      <w:numFmt w:val="bullet"/>
      <w:lvlText w:val="•"/>
      <w:lvlJc w:val="left"/>
      <w:pPr>
        <w:ind w:left="4442" w:hanging="360"/>
      </w:pPr>
    </w:lvl>
    <w:lvl w:ilvl="5" w:tplc="E6FE3144">
      <w:start w:val="1"/>
      <w:numFmt w:val="bullet"/>
      <w:lvlText w:val="•"/>
      <w:lvlJc w:val="left"/>
      <w:pPr>
        <w:ind w:left="5253" w:hanging="360"/>
      </w:pPr>
    </w:lvl>
    <w:lvl w:ilvl="6" w:tplc="71182A70">
      <w:start w:val="1"/>
      <w:numFmt w:val="bullet"/>
      <w:lvlText w:val="•"/>
      <w:lvlJc w:val="left"/>
      <w:pPr>
        <w:ind w:left="6063" w:hanging="360"/>
      </w:pPr>
    </w:lvl>
    <w:lvl w:ilvl="7" w:tplc="6052A026">
      <w:start w:val="1"/>
      <w:numFmt w:val="bullet"/>
      <w:lvlText w:val="•"/>
      <w:lvlJc w:val="left"/>
      <w:pPr>
        <w:ind w:left="6874" w:hanging="360"/>
      </w:pPr>
    </w:lvl>
    <w:lvl w:ilvl="8" w:tplc="454CC15C">
      <w:start w:val="1"/>
      <w:numFmt w:val="bullet"/>
      <w:lvlText w:val="•"/>
      <w:lvlJc w:val="left"/>
      <w:pPr>
        <w:ind w:left="7685" w:hanging="360"/>
      </w:pPr>
    </w:lvl>
  </w:abstractNum>
  <w:abstractNum w:abstractNumId="1" w15:restartNumberingAfterBreak="0">
    <w:nsid w:val="399E2956"/>
    <w:multiLevelType w:val="hybridMultilevel"/>
    <w:tmpl w:val="FFFFFFFF"/>
    <w:lvl w:ilvl="0" w:tplc="BA74922C">
      <w:start w:val="1"/>
      <w:numFmt w:val="bullet"/>
      <w:lvlText w:val=""/>
      <w:lvlJc w:val="left"/>
      <w:pPr>
        <w:ind w:left="836" w:hanging="360"/>
      </w:pPr>
      <w:rPr>
        <w:rFonts w:ascii="Symbol" w:hAnsi="Symbol" w:cs="Symbol"/>
        <w:sz w:val="22"/>
        <w:szCs w:val="22"/>
      </w:rPr>
    </w:lvl>
    <w:lvl w:ilvl="1" w:tplc="1FDC9DB6">
      <w:start w:val="1"/>
      <w:numFmt w:val="bullet"/>
      <w:lvlText w:val="•"/>
      <w:lvlJc w:val="left"/>
      <w:pPr>
        <w:ind w:left="1686" w:hanging="360"/>
      </w:pPr>
    </w:lvl>
    <w:lvl w:ilvl="2" w:tplc="D2F8172C">
      <w:start w:val="1"/>
      <w:numFmt w:val="bullet"/>
      <w:lvlText w:val="•"/>
      <w:lvlJc w:val="left"/>
      <w:pPr>
        <w:ind w:left="2533" w:hanging="360"/>
      </w:pPr>
    </w:lvl>
    <w:lvl w:ilvl="3" w:tplc="708068CE">
      <w:start w:val="1"/>
      <w:numFmt w:val="bullet"/>
      <w:lvlText w:val="•"/>
      <w:lvlJc w:val="left"/>
      <w:pPr>
        <w:ind w:left="3379" w:hanging="360"/>
      </w:pPr>
    </w:lvl>
    <w:lvl w:ilvl="4" w:tplc="2B3878AE">
      <w:start w:val="1"/>
      <w:numFmt w:val="bullet"/>
      <w:lvlText w:val="•"/>
      <w:lvlJc w:val="left"/>
      <w:pPr>
        <w:ind w:left="4226" w:hanging="360"/>
      </w:pPr>
    </w:lvl>
    <w:lvl w:ilvl="5" w:tplc="351AAAF0">
      <w:start w:val="1"/>
      <w:numFmt w:val="bullet"/>
      <w:lvlText w:val="•"/>
      <w:lvlJc w:val="left"/>
      <w:pPr>
        <w:ind w:left="5073" w:hanging="360"/>
      </w:pPr>
    </w:lvl>
    <w:lvl w:ilvl="6" w:tplc="230ABE2C">
      <w:start w:val="1"/>
      <w:numFmt w:val="bullet"/>
      <w:lvlText w:val="•"/>
      <w:lvlJc w:val="left"/>
      <w:pPr>
        <w:ind w:left="5919" w:hanging="360"/>
      </w:pPr>
    </w:lvl>
    <w:lvl w:ilvl="7" w:tplc="53A687AA">
      <w:start w:val="1"/>
      <w:numFmt w:val="bullet"/>
      <w:lvlText w:val="•"/>
      <w:lvlJc w:val="left"/>
      <w:pPr>
        <w:ind w:left="6766" w:hanging="360"/>
      </w:pPr>
    </w:lvl>
    <w:lvl w:ilvl="8" w:tplc="2F24074A">
      <w:start w:val="1"/>
      <w:numFmt w:val="bullet"/>
      <w:lvlText w:val="•"/>
      <w:lvlJc w:val="left"/>
      <w:pPr>
        <w:ind w:left="7613" w:hanging="360"/>
      </w:pPr>
    </w:lvl>
  </w:abstractNum>
  <w:abstractNum w:abstractNumId="2" w15:restartNumberingAfterBreak="0">
    <w:nsid w:val="5B824E4F"/>
    <w:multiLevelType w:val="hybridMultilevel"/>
    <w:tmpl w:val="FFFFFFFF"/>
    <w:lvl w:ilvl="0" w:tplc="E99493C2">
      <w:start w:val="1"/>
      <w:numFmt w:val="decimal"/>
      <w:lvlText w:val="%1)"/>
      <w:lvlJc w:val="left"/>
      <w:pPr>
        <w:ind w:left="348" w:hanging="232"/>
      </w:pPr>
      <w:rPr>
        <w:b/>
        <w:bCs/>
        <w:sz w:val="22"/>
        <w:szCs w:val="22"/>
      </w:rPr>
    </w:lvl>
    <w:lvl w:ilvl="1" w:tplc="E7183FAC">
      <w:start w:val="1"/>
      <w:numFmt w:val="lowerLetter"/>
      <w:lvlText w:val="%2)"/>
      <w:lvlJc w:val="left"/>
      <w:pPr>
        <w:ind w:left="1402" w:hanging="360"/>
      </w:pPr>
      <w:rPr>
        <w:sz w:val="22"/>
        <w:szCs w:val="22"/>
      </w:rPr>
    </w:lvl>
    <w:lvl w:ilvl="2" w:tplc="13AE5D7A">
      <w:start w:val="1"/>
      <w:numFmt w:val="bullet"/>
      <w:lvlText w:val=""/>
      <w:lvlJc w:val="left"/>
      <w:pPr>
        <w:ind w:left="2122" w:hanging="360"/>
      </w:pPr>
      <w:rPr>
        <w:rFonts w:ascii="Symbol" w:hAnsi="Symbol" w:cs="Symbol"/>
        <w:sz w:val="22"/>
        <w:szCs w:val="22"/>
      </w:rPr>
    </w:lvl>
    <w:lvl w:ilvl="3" w:tplc="A06A72AE">
      <w:start w:val="1"/>
      <w:numFmt w:val="bullet"/>
      <w:lvlText w:val="•"/>
      <w:lvlJc w:val="left"/>
      <w:pPr>
        <w:ind w:left="1820" w:hanging="360"/>
      </w:pPr>
    </w:lvl>
    <w:lvl w:ilvl="4" w:tplc="EC5E988E">
      <w:start w:val="1"/>
      <w:numFmt w:val="bullet"/>
      <w:lvlText w:val="•"/>
      <w:lvlJc w:val="left"/>
      <w:pPr>
        <w:ind w:left="2120" w:hanging="360"/>
      </w:pPr>
    </w:lvl>
    <w:lvl w:ilvl="5" w:tplc="22D6E8B0">
      <w:start w:val="1"/>
      <w:numFmt w:val="bullet"/>
      <w:lvlText w:val="•"/>
      <w:lvlJc w:val="left"/>
      <w:pPr>
        <w:ind w:left="2260" w:hanging="360"/>
      </w:pPr>
    </w:lvl>
    <w:lvl w:ilvl="6" w:tplc="5BBEEAF6">
      <w:start w:val="1"/>
      <w:numFmt w:val="bullet"/>
      <w:lvlText w:val="•"/>
      <w:lvlJc w:val="left"/>
      <w:pPr>
        <w:ind w:left="3669" w:hanging="360"/>
      </w:pPr>
    </w:lvl>
    <w:lvl w:ilvl="7" w:tplc="8F6EFBE8">
      <w:start w:val="1"/>
      <w:numFmt w:val="bullet"/>
      <w:lvlText w:val="•"/>
      <w:lvlJc w:val="left"/>
      <w:pPr>
        <w:ind w:left="5078" w:hanging="360"/>
      </w:pPr>
    </w:lvl>
    <w:lvl w:ilvl="8" w:tplc="9E164DA2">
      <w:start w:val="1"/>
      <w:numFmt w:val="bullet"/>
      <w:lvlText w:val="•"/>
      <w:lvlJc w:val="left"/>
      <w:pPr>
        <w:ind w:left="6487" w:hanging="360"/>
      </w:pPr>
    </w:lvl>
  </w:abstractNum>
  <w:abstractNum w:abstractNumId="3" w15:restartNumberingAfterBreak="0">
    <w:nsid w:val="6E88259D"/>
    <w:multiLevelType w:val="hybridMultilevel"/>
    <w:tmpl w:val="FFFFFFFF"/>
    <w:lvl w:ilvl="0" w:tplc="85662812">
      <w:start w:val="1"/>
      <w:numFmt w:val="decimal"/>
      <w:lvlText w:val="%1."/>
      <w:lvlJc w:val="left"/>
      <w:pPr>
        <w:ind w:left="1196" w:hanging="360"/>
      </w:pPr>
      <w:rPr>
        <w:sz w:val="22"/>
        <w:szCs w:val="22"/>
      </w:rPr>
    </w:lvl>
    <w:lvl w:ilvl="1" w:tplc="8D8E13AC">
      <w:start w:val="1"/>
      <w:numFmt w:val="bullet"/>
      <w:lvlText w:val="•"/>
      <w:lvlJc w:val="left"/>
      <w:pPr>
        <w:ind w:left="2010" w:hanging="360"/>
      </w:pPr>
    </w:lvl>
    <w:lvl w:ilvl="2" w:tplc="1292BEA4">
      <w:start w:val="1"/>
      <w:numFmt w:val="bullet"/>
      <w:lvlText w:val="•"/>
      <w:lvlJc w:val="left"/>
      <w:pPr>
        <w:ind w:left="2821" w:hanging="360"/>
      </w:pPr>
    </w:lvl>
    <w:lvl w:ilvl="3" w:tplc="479CA93E">
      <w:start w:val="1"/>
      <w:numFmt w:val="bullet"/>
      <w:lvlText w:val="•"/>
      <w:lvlJc w:val="left"/>
      <w:pPr>
        <w:ind w:left="3631" w:hanging="360"/>
      </w:pPr>
    </w:lvl>
    <w:lvl w:ilvl="4" w:tplc="1F3CC66C">
      <w:start w:val="1"/>
      <w:numFmt w:val="bullet"/>
      <w:lvlText w:val="•"/>
      <w:lvlJc w:val="left"/>
      <w:pPr>
        <w:ind w:left="4442" w:hanging="360"/>
      </w:pPr>
    </w:lvl>
    <w:lvl w:ilvl="5" w:tplc="CCE27132">
      <w:start w:val="1"/>
      <w:numFmt w:val="bullet"/>
      <w:lvlText w:val="•"/>
      <w:lvlJc w:val="left"/>
      <w:pPr>
        <w:ind w:left="5253" w:hanging="360"/>
      </w:pPr>
    </w:lvl>
    <w:lvl w:ilvl="6" w:tplc="16DA1968">
      <w:start w:val="1"/>
      <w:numFmt w:val="bullet"/>
      <w:lvlText w:val="•"/>
      <w:lvlJc w:val="left"/>
      <w:pPr>
        <w:ind w:left="6063" w:hanging="360"/>
      </w:pPr>
    </w:lvl>
    <w:lvl w:ilvl="7" w:tplc="1C7C2C62">
      <w:start w:val="1"/>
      <w:numFmt w:val="bullet"/>
      <w:lvlText w:val="•"/>
      <w:lvlJc w:val="left"/>
      <w:pPr>
        <w:ind w:left="6874" w:hanging="360"/>
      </w:pPr>
    </w:lvl>
    <w:lvl w:ilvl="8" w:tplc="F87C465C">
      <w:start w:val="1"/>
      <w:numFmt w:val="bullet"/>
      <w:lvlText w:val="•"/>
      <w:lvlJc w:val="left"/>
      <w:pPr>
        <w:ind w:left="7685" w:hanging="360"/>
      </w:pPr>
    </w:lvl>
  </w:abstractNum>
  <w:num w:numId="1" w16cid:durableId="445656875">
    <w:abstractNumId w:val="2"/>
  </w:num>
  <w:num w:numId="2" w16cid:durableId="927885368">
    <w:abstractNumId w:val="1"/>
  </w:num>
  <w:num w:numId="3" w16cid:durableId="2127036683">
    <w:abstractNumId w:val="3"/>
  </w:num>
  <w:num w:numId="4" w16cid:durableId="71678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1D"/>
    <w:rsid w:val="000511E7"/>
    <w:rsid w:val="0005735B"/>
    <w:rsid w:val="00287079"/>
    <w:rsid w:val="00E444A8"/>
    <w:rsid w:val="00E766D2"/>
    <w:rsid w:val="00EB5E1D"/>
    <w:rsid w:val="00F032CA"/>
    <w:rsid w:val="00F3098E"/>
    <w:rsid w:val="00F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E0D3"/>
  <w15:chartTrackingRefBased/>
  <w15:docId w15:val="{4AE3A0EA-0DD3-4B8D-9F27-60CB069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032CA"/>
    <w:pPr>
      <w:autoSpaceDE w:val="0"/>
      <w:autoSpaceDN w:val="0"/>
      <w:adjustRightInd w:val="0"/>
      <w:spacing w:after="0" w:line="240" w:lineRule="auto"/>
      <w:ind w:left="116"/>
      <w:outlineLvl w:val="0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032CA"/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F032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32C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032C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32C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F032CA"/>
    <w:pPr>
      <w:autoSpaceDE w:val="0"/>
      <w:autoSpaceDN w:val="0"/>
      <w:adjustRightInd w:val="0"/>
      <w:spacing w:after="0" w:line="240" w:lineRule="auto"/>
      <w:ind w:left="836" w:hanging="361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F032CA"/>
    <w:rPr>
      <w:color w:val="0563C1" w:themeColor="hyperlink"/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plemieszkanie@umelbl&#261;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Tykarska</dc:creator>
  <cp:keywords/>
  <dc:description/>
  <cp:lastModifiedBy>Martyna Mydlarz-Awiżeń</cp:lastModifiedBy>
  <cp:revision>4</cp:revision>
  <cp:lastPrinted>2024-07-03T06:23:00Z</cp:lastPrinted>
  <dcterms:created xsi:type="dcterms:W3CDTF">2024-06-24T12:15:00Z</dcterms:created>
  <dcterms:modified xsi:type="dcterms:W3CDTF">2024-07-03T06:24:00Z</dcterms:modified>
</cp:coreProperties>
</file>