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196/2024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Prezydenta Miasta Elbląg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18 kwietnia 2024 r.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sporządzenia i ogłoszenia wykazu nieruchomości przeznaczonych do zbycia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 1997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gospodarce nieruchomościami (t.j. Dz.U.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344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2"/>
          <w:u w:val="no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zasobu nieruchomości Gminy Miasto Elbląg przeznacza się do zbycia nieruchomości szczegółowo opisane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załączniku do 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Szczegółowe warunki zbycia poszczególnych nieruchomości zostaną ustalone we właściwych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protokołach.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Ogłasza się wykaz nieruchomości przeznaczonych do zbycia,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 do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niniejszego Zarządzenia.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Wykaz nieruchomości,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1, podlega ogłoszeniu poprzez wywieszenie na tablicy ogłoszeń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siedzibie Urzędu Miejskiego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Elblągu na okres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ponadto informacja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wywieszeniu podana zostanie do wiadomości publicznej poprzez ogłoszenie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prasie lokalnej.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załączniku do Zarządzenia Nr 262/2022 Prezydenta Miasta Elbląg z dnia 9 czerwca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 sprawie sporządzenia i ogłoszenia wykazu nieruchomości przeznaczonych do zbycia, skreśla się poz. 1.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Dyrektorowi Departamentu Gospodarki Nieruchomościami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Geodezji.</w:t>
      </w:r>
    </w:p>
    <w:p w:rsidR="00A77B3E">
      <w:pPr>
        <w:keepNext w:val="0"/>
        <w:keepLines/>
        <w:spacing w:before="120" w:after="120" w:line="24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endnotePr>
            <w:numFmt w:val="decimal"/>
          </w:endnotePr>
          <w:pgSz w:w="11906" w:h="16838"/>
          <w:pgMar w:top="1417" w:right="850" w:bottom="1134" w:left="1417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0" w:afterAutospacing="0" w:line="240" w:lineRule="auto"/>
        <w:ind w:left="9360" w:right="0" w:firstLine="0"/>
        <w:contextualSpacing w:val="0"/>
        <w:jc w:val="left"/>
        <w:rPr>
          <w:szCs w:val="20"/>
        </w:rPr>
      </w:pPr>
      <w:r>
        <w:rPr>
          <w:szCs w:val="20"/>
        </w:rPr>
        <w:t xml:space="preserve">Załącznik do Zarządzenia Nr </w:t>
      </w:r>
      <w:r>
        <w:rPr>
          <w:szCs w:val="20"/>
        </w:rPr>
        <w:t>196/2024</w:t>
      </w:r>
      <w:r>
        <w:rPr>
          <w:szCs w:val="20"/>
        </w:rPr>
        <w:br/>
        <w:t>Prezydenta Miasta Elbląg</w:t>
        <w:br/>
        <w:t>z dnia</w:t>
      </w:r>
      <w:r>
        <w:rPr>
          <w:szCs w:val="20"/>
        </w:rPr>
        <w:t xml:space="preserve"> 18 kwietnia </w:t>
      </w:r>
      <w:r>
        <w:rPr>
          <w:szCs w:val="20"/>
        </w:rPr>
        <w:t>2024 r.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WYKAZ</w:t>
        <w:br/>
        <w:t>nieruchomości przeznaczonych do zbycia w drodze przetargu</w:t>
      </w: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66"/>
        <w:gridCol w:w="1952"/>
        <w:gridCol w:w="1516"/>
        <w:gridCol w:w="961"/>
        <w:gridCol w:w="1321"/>
        <w:gridCol w:w="1276"/>
        <w:gridCol w:w="2702"/>
        <w:gridCol w:w="1636"/>
        <w:gridCol w:w="1441"/>
        <w:gridCol w:w="12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Lp</w:t>
            </w:r>
            <w:r>
              <w:rPr>
                <w:szCs w:val="20"/>
              </w:rPr>
              <w:t xml:space="preserve">                        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Adres</w:t>
            </w:r>
            <w:r>
              <w:rPr>
                <w:szCs w:val="20"/>
              </w:rPr>
              <w:t xml:space="preserve">                         </w:t>
            </w:r>
          </w:p>
        </w:tc>
        <w:tc>
          <w:tcPr>
            <w:tcW w:w="5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top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Dane geodezyjne</w:t>
            </w:r>
            <w:r>
              <w:rPr>
                <w:szCs w:val="20"/>
              </w:rPr>
              <w:t xml:space="preserve">                        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Opis i przeznaczenie</w:t>
            </w:r>
            <w:r>
              <w:rPr>
                <w:color w:val="000000"/>
                <w:szCs w:val="20"/>
                <w:u w:color="000000"/>
              </w:rPr>
              <w:t> </w:t>
              <w:br/>
            </w:r>
            <w:r>
              <w:rPr>
                <w:b/>
                <w:color w:val="000000"/>
                <w:szCs w:val="20"/>
                <w:u w:color="000000"/>
              </w:rPr>
              <w:t>nieruchomości</w:t>
            </w:r>
            <w:r>
              <w:rPr>
                <w:color w:val="000000"/>
                <w:szCs w:val="20"/>
                <w:u w:color="000000"/>
              </w:rPr>
              <w:t> 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>Forma</w:t>
            </w:r>
            <w:r>
              <w:rPr>
                <w:color w:val="000000"/>
                <w:szCs w:val="20"/>
                <w:u w:color="000000"/>
              </w:rPr>
              <w:t> </w:t>
              <w:br/>
            </w:r>
            <w:r>
              <w:rPr>
                <w:b/>
                <w:color w:val="000000"/>
                <w:szCs w:val="20"/>
                <w:u w:color="000000"/>
              </w:rPr>
              <w:t>zbycia</w:t>
            </w:r>
            <w:r>
              <w:rPr>
                <w:color w:val="000000"/>
                <w:szCs w:val="20"/>
                <w:u w:color="000000"/>
              </w:rPr>
              <w:t> </w:t>
            </w:r>
          </w:p>
        </w:tc>
        <w:tc>
          <w:tcPr>
            <w:tcW w:w="26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Cena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nieruchomości*</w:t>
            </w:r>
            <w:r>
              <w:rPr>
                <w:szCs w:val="20"/>
              </w:rPr>
              <w:t xml:space="preserve">                         </w:t>
            </w: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Cs w:val="20"/>
              </w:rPr>
            </w:pPr>
            <w:r>
              <w:rPr>
                <w:b/>
                <w:szCs w:val="20"/>
              </w:rPr>
              <w:t>KW</w:t>
            </w:r>
            <w:r>
              <w:rPr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Nr dz.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Cs w:val="20"/>
              </w:rPr>
              <w:t xml:space="preserve"> 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color w:val="000000"/>
                <w:szCs w:val="20"/>
                <w:u w:color="000000"/>
              </w:rPr>
              <w:t>Pow.</w:t>
            </w:r>
            <w:r>
              <w:rPr>
                <w:color w:val="000000"/>
                <w:szCs w:val="20"/>
                <w:u w:color="000000"/>
              </w:rPr>
              <w:t> </w:t>
              <w:br/>
            </w:r>
            <w:r>
              <w:rPr>
                <w:b/>
                <w:color w:val="000000"/>
                <w:szCs w:val="20"/>
                <w:u w:color="000000"/>
              </w:rPr>
              <w:t>w ha</w:t>
            </w:r>
            <w:r>
              <w:rPr>
                <w:color w:val="000000"/>
                <w:szCs w:val="20"/>
                <w:u w:color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b/>
                <w:szCs w:val="20"/>
              </w:rPr>
              <w:t>Obręb</w:t>
            </w:r>
            <w:r>
              <w:rPr>
                <w:szCs w:val="20"/>
              </w:rPr>
              <w:t xml:space="preserve">                         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6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</w:tr>
      <w:tr>
        <w:tblPrEx>
          <w:tblW w:w="5000" w:type="pct"/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7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8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16"/>
                <w:szCs w:val="20"/>
              </w:rPr>
              <w:t>9</w:t>
            </w:r>
          </w:p>
        </w:tc>
      </w:tr>
      <w:tr>
        <w:tblPrEx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1.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ul. Macieja Kalenkiewicza 16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71146/6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137/14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0,6223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3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Lokal mieszkalny nr 23 o pow. 47,7 m</w:t>
            </w:r>
            <w:r>
              <w:rPr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>wraz z przynależną piwnicą o  pow. 2,0 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sz w:val="20"/>
                <w:szCs w:val="20"/>
              </w:rPr>
              <w:t>Z lokalem związany jest udział 469/100000 w częściach wspólnych i niepodzielnych oraz w prawie własności gruntu</w:t>
            </w:r>
            <w:r>
              <w:rPr>
                <w:color w:val="000000"/>
                <w:sz w:val="20"/>
                <w:szCs w:val="20"/>
                <w:u w:color="000000"/>
              </w:rPr>
              <w:t>. Dla przedmiotowego lokalu prowadzona jest księga wieczysta Nr EL1E/00084540/2.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  <w:r>
              <w:rPr>
                <w:color w:val="000000"/>
                <w:szCs w:val="20"/>
                <w:u w:color="000000"/>
              </w:rPr>
              <w:t>własność</w:t>
            </w:r>
          </w:p>
        </w:tc>
        <w:tc>
          <w:tcPr>
            <w:tcW w:w="265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16"/>
                <w:szCs w:val="20"/>
              </w:rPr>
            </w:pPr>
            <w:r>
              <w:rPr>
                <w:b/>
                <w:szCs w:val="20"/>
              </w:rPr>
              <w:t>241.000</w:t>
            </w:r>
            <w:r>
              <w:rPr>
                <w:b/>
                <w:szCs w:val="20"/>
              </w:rPr>
              <w:t> zł</w:t>
            </w:r>
          </w:p>
        </w:tc>
      </w:tr>
      <w:tr>
        <w:tblPrEx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 tym:</w:t>
            </w:r>
          </w:p>
        </w:tc>
      </w:tr>
      <w:tr>
        <w:tblPrEx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lokal: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231.034</w:t>
            </w:r>
            <w:r>
              <w:rPr>
                <w:sz w:val="16"/>
                <w:szCs w:val="20"/>
              </w:rPr>
              <w:t xml:space="preserve"> zł</w:t>
            </w:r>
          </w:p>
        </w:tc>
      </w:tr>
      <w:tr>
        <w:tblPrEx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45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udział w gruncie: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9.966</w:t>
            </w:r>
            <w:r>
              <w:rPr>
                <w:sz w:val="16"/>
                <w:szCs w:val="20"/>
              </w:rPr>
              <w:t xml:space="preserve"> zł</w:t>
            </w:r>
          </w:p>
        </w:tc>
      </w:tr>
      <w:tr>
        <w:tblPrEx>
          <w:tblBorders>
            <w:insideH w:val="nil"/>
            <w:insideV w:val="nil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4"/>
        </w:trPr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  <w:u w:color="000000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color w:val="000000"/>
                <w:szCs w:val="20"/>
              </w:rPr>
            </w:pPr>
            <w:r>
              <w:rPr>
                <w:sz w:val="16"/>
                <w:szCs w:val="20"/>
              </w:rPr>
              <w:t xml:space="preserve">plus podatek VAT zgodnie 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z obowiązującymi przepisami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szCs w:val="20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9555"/>
        <w:gridCol w:w="52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1477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sz w:val="18"/>
                <w:szCs w:val="20"/>
              </w:rPr>
              <w:t>* Osoby, o których mowa w art.34 ust.1 ustawy o gospodarce nieruchomościami nabywają nieruchomość za cenę określoną na podstawie art.67 ust.3 ustawy o gospodarce nieruchomościami. </w:t>
            </w:r>
          </w:p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rPr>
                <w:szCs w:val="20"/>
              </w:rPr>
            </w:pPr>
            <w:r>
              <w:rPr>
                <w:sz w:val="18"/>
                <w:szCs w:val="20"/>
              </w:rPr>
              <w:t>Pierwszeństwo w nabyciu nieruchomości określonych w powyższym wykazie dotyczy osób, którym przysługuje roszczenie o nabycie nieruchomości z mocy ustawy o gospodarce nieruchomościami lub odrębnych przepisów, jeżeli złożą wniosek o nabycie przed upływem terminu określonego w wykazie: termin złożenia wniosku nie może być krótszy niż 6 tygodni, licząc od dnia wywieszenia wykazu.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gridAfter w:val="1"/>
          <w:wAfter w:w="5220" w:type="dxa"/>
          <w:trHeight w:val="465"/>
        </w:trPr>
        <w:tc>
          <w:tcPr>
            <w:tcW w:w="9555" w:type="dxa"/>
            <w:tcBorders>
              <w:top w:val="nil"/>
              <w:left w:val="nil"/>
              <w:bottom w:val="nil"/>
              <w:right w:val="nil"/>
            </w:tcBorders>
            <w:noWrap w:val="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Sporządziła: </w:t>
            </w:r>
            <w:r>
              <w:rPr>
                <w:i/>
                <w:sz w:val="18"/>
                <w:szCs w:val="20"/>
              </w:rPr>
              <w:t>Katarzyna Zaborowska</w:t>
            </w:r>
            <w:r>
              <w:rPr>
                <w:i/>
                <w:sz w:val="18"/>
                <w:szCs w:val="20"/>
              </w:rPr>
              <w:t xml:space="preserve">, </w:t>
            </w:r>
            <w:r>
              <w:rPr>
                <w:i/>
                <w:sz w:val="18"/>
                <w:szCs w:val="20"/>
              </w:rPr>
              <w:t>Starszy Specjalista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left"/>
        <w:rPr>
          <w:szCs w:val="20"/>
        </w:rPr>
      </w:pPr>
    </w:p>
    <w:sectPr>
      <w:endnotePr>
        <w:numFmt w:val="decimal"/>
      </w:endnotePr>
      <w:type w:val="nextPage"/>
      <w:pgSz w:w="16838" w:h="11906" w:orient="landscape" w:code="0"/>
      <w:pgMar w:top="1417" w:right="850" w:bottom="113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196/2024 z dnia 18 kwietnia 2024 r.</dc:title>
  <dc:subject>w sprawie sporządzenia i^ogłoszenia wykazu nieruchomości przeznaczonych do zbycia</dc:subject>
  <dc:creator>kazab</dc:creator>
  <cp:lastModifiedBy>kazab</cp:lastModifiedBy>
  <cp:revision>1</cp:revision>
  <dcterms:created xsi:type="dcterms:W3CDTF">2024-04-24T09:19:48Z</dcterms:created>
  <dcterms:modified xsi:type="dcterms:W3CDTF">2024-04-24T09:19:48Z</dcterms:modified>
  <cp:category>Akt prawny</cp:category>
</cp:coreProperties>
</file>