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116/2024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marca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obniżenia ceny wywoławczej nieruchomości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 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Obniża się cenę wywoławczą nieruchomości ustaloną przy ogłoszeniu czwartego przetargu do wysokości określonej w 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10080" w:right="0" w:firstLine="0"/>
        <w:contextualSpacing w:val="0"/>
        <w:jc w:val="left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Załącznik do zarządzenia Nr </w:t>
      </w:r>
      <w:r>
        <w:rPr>
          <w:szCs w:val="20"/>
        </w:rPr>
        <w:t>116/2024</w:t>
      </w:r>
      <w:r>
        <w:rPr>
          <w:szCs w:val="20"/>
          <w:lang w:val="x-none" w:eastAsia="en-US" w:bidi="ar-SA"/>
        </w:rPr>
        <w:br/>
        <w:t>Prezydenta Miasta Elbląg</w:t>
        <w:br/>
        <w:t>z dnia</w:t>
      </w:r>
      <w:r>
        <w:rPr>
          <w:szCs w:val="20"/>
        </w:rPr>
        <w:t xml:space="preserve"> 11 marca </w:t>
      </w:r>
      <w:r>
        <w:rPr>
          <w:szCs w:val="20"/>
          <w:lang w:val="x-none" w:eastAsia="en-US" w:bidi="ar-SA"/>
        </w:rPr>
        <w:t>2024 r.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9"/>
        <w:gridCol w:w="1907"/>
        <w:gridCol w:w="1021"/>
        <w:gridCol w:w="826"/>
        <w:gridCol w:w="1096"/>
        <w:gridCol w:w="916"/>
        <w:gridCol w:w="3062"/>
        <w:gridCol w:w="2177"/>
        <w:gridCol w:w="2222"/>
        <w:gridCol w:w="9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Lp.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Położenie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Dane geodezyjne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Opis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nieruchomości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Cena wywoławcza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w pierwszym przetargu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Cena wywoławcza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w </w:t>
            </w:r>
            <w:r>
              <w:rPr>
                <w:szCs w:val="20"/>
              </w:rPr>
              <w:t xml:space="preserve">drugim </w:t>
            </w:r>
            <w:r>
              <w:rPr>
                <w:szCs w:val="20"/>
                <w:lang w:val="x-none" w:eastAsia="en-US" w:bidi="ar-SA"/>
              </w:rPr>
              <w:t>przetargu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obniżki</w:t>
            </w:r>
          </w:p>
        </w:tc>
      </w:tr>
      <w:tr>
        <w:tblPrEx>
          <w:tblW w:w="5000" w:type="pct"/>
          <w:tblBorders>
            <w:insideH w:val="nil"/>
            <w:insideV w:val="nil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KW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Obręb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Nr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działki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Pow.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w ha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</w:tr>
      <w:tr>
        <w:tblPrEx>
          <w:tblW w:w="5000" w:type="pct"/>
          <w:tblBorders>
            <w:insideH w:val="nil"/>
            <w:insideV w:val="nil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sz w:val="12"/>
                <w:szCs w:val="20"/>
                <w:lang w:val="x-none" w:eastAsia="en-US" w:bidi="ar-SA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2"/>
                <w:szCs w:val="20"/>
                <w:u w:color="000000"/>
                <w:lang w:val="x-none" w:eastAsia="en-US" w:bidi="ar-SA"/>
              </w:rPr>
              <w:t>10</w:t>
            </w:r>
          </w:p>
        </w:tc>
      </w:tr>
      <w:tr>
        <w:tblPrEx>
          <w:tblW w:w="5000" w:type="pct"/>
          <w:tblBorders>
            <w:insideH w:val="nil"/>
            <w:insideV w:val="nil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1.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Al. Odrodzenia 10/1U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75419/9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3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137/11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0,7772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u w:color="000000"/>
              </w:rPr>
              <w:t>Lokal użytkowy nr 1U, o łącznej pow. uż. 57,5m</w:t>
            </w:r>
            <w:r>
              <w:rPr>
                <w:color w:val="000000"/>
                <w:sz w:val="20"/>
                <w:szCs w:val="20"/>
                <w:u w:color="00000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  <w:u w:color="000000"/>
              </w:rPr>
              <w:t xml:space="preserve"> wraz z udziałem 0,01102 w częściach wspólnych i niepodzielnych budynku oraz w prawie użytkowania wieczystego gruntu.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144.000</w:t>
            </w:r>
            <w:r>
              <w:rPr>
                <w:color w:val="000000"/>
                <w:szCs w:val="20"/>
                <w:u w:color="000000"/>
                <w:lang w:val="x-none" w:eastAsia="en-US" w:bidi="ar-SA"/>
              </w:rPr>
              <w:t> zł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100.000</w:t>
            </w:r>
            <w:r>
              <w:rPr>
                <w:color w:val="000000"/>
                <w:szCs w:val="20"/>
                <w:u w:color="000000"/>
                <w:lang w:val="x-none" w:eastAsia="en-US" w:bidi="ar-SA"/>
              </w:rPr>
              <w:t> zł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30,6</w:t>
            </w:r>
            <w:r>
              <w:rPr>
                <w:color w:val="000000"/>
                <w:szCs w:val="20"/>
                <w:u w:color="000000"/>
                <w:lang w:val="x-none" w:eastAsia="en-US" w:bidi="ar-SA"/>
              </w:rPr>
              <w:t xml:space="preserve"> %</w:t>
            </w:r>
          </w:p>
        </w:tc>
      </w:tr>
      <w:tr>
        <w:tblPrEx>
          <w:tblW w:w="5000" w:type="pct"/>
          <w:tblBorders>
            <w:insideH w:val="nil"/>
            <w:insideV w:val="nil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  <w:tc>
          <w:tcPr>
            <w:tcW w:w="217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4"/>
                <w:szCs w:val="20"/>
                <w:u w:color="000000"/>
                <w:lang w:val="x-none" w:eastAsia="en-US" w:bidi="ar-SA"/>
              </w:rPr>
              <w:t>plus należny podatek VAT, zgodnie z obowiązującymi przepisami</w:t>
            </w:r>
          </w:p>
        </w:tc>
        <w:tc>
          <w:tcPr>
            <w:tcW w:w="22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 w:val="14"/>
                <w:szCs w:val="20"/>
                <w:u w:color="000000"/>
                <w:lang w:val="x-none" w:eastAsia="en-US" w:bidi="ar-SA"/>
              </w:rPr>
              <w:t>plus należny podatek VAT, zgodnie z obowiązującymi przepisami</w:t>
            </w: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720"/>
        <w:contextualSpacing w:val="0"/>
        <w:jc w:val="left"/>
        <w:rPr>
          <w:i/>
          <w:szCs w:val="20"/>
          <w:lang w:val="x-none" w:eastAsia="en-US" w:bidi="ar-SA"/>
        </w:rPr>
      </w:pPr>
      <w:r>
        <w:rPr>
          <w:i/>
          <w:szCs w:val="20"/>
          <w:lang w:val="x-none" w:eastAsia="en-US" w:bidi="ar-SA"/>
        </w:rPr>
        <w:br/>
        <w:br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720"/>
        <w:contextualSpacing w:val="0"/>
        <w:jc w:val="left"/>
        <w:rPr>
          <w:i/>
          <w:szCs w:val="20"/>
        </w:rPr>
      </w:pPr>
    </w:p>
    <w:tbl>
      <w:tblPr>
        <w:tblStyle w:val="TableNormal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</w:tblPr>
      <w:tblGrid>
        <w:gridCol w:w="14787"/>
      </w:tblGrid>
      <w:tr>
        <w:tblPrEx>
          <w:tblW w:w="5000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</w:tblPrEx>
        <w:trPr>
          <w:trHeight w:val="465"/>
        </w:trPr>
        <w:tc>
          <w:tcPr>
            <w:tcW w:w="144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</w:rPr>
            </w:pPr>
            <w:r>
              <w:rPr>
                <w:i/>
                <w:sz w:val="18"/>
                <w:szCs w:val="20"/>
              </w:rPr>
              <w:t>Sporządziła: Katarzyna Zaborowska, Podinspektor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u w:color="000000"/>
          <w:lang w:val="x-none" w:eastAsia="en-US" w:bidi="ar-SA"/>
        </w:rPr>
      </w:pPr>
    </w:p>
    <w:sectPr>
      <w:endnotePr>
        <w:numFmt w:val="decimal"/>
      </w:endnotePr>
      <w:type w:val="nextPage"/>
      <w:pgSz w:w="16838" w:h="11906" w:orient="landscape" w:code="0"/>
      <w:pgMar w:top="1417" w:right="850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116/2024 z dnia 11 marca 2024 r.</dc:title>
  <dc:subject>w sprawie obniżenia ceny wywoławczej nieruchomości</dc:subject>
  <dc:creator>kazab</dc:creator>
  <cp:lastModifiedBy>kazab</cp:lastModifiedBy>
  <cp:revision>1</cp:revision>
  <dcterms:created xsi:type="dcterms:W3CDTF">2024-03-12T11:25:59Z</dcterms:created>
  <dcterms:modified xsi:type="dcterms:W3CDTF">2024-03-12T11:25:59Z</dcterms:modified>
  <cp:category>Akt prawny</cp:category>
</cp:coreProperties>
</file>