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lutego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140/2022 Prezydenta Miasta Elbląg z dnia 5 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zbycia, skreśla się poz. 4.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4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61/2024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 lutego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50"/>
        <w:gridCol w:w="1110"/>
        <w:gridCol w:w="1380"/>
        <w:gridCol w:w="990"/>
        <w:gridCol w:w="990"/>
        <w:gridCol w:w="3885"/>
        <w:gridCol w:w="1230"/>
        <w:gridCol w:w="2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Freta 57a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47848/0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181/1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0,0244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Nieruchomość niezabudowana </w:t>
            </w:r>
          </w:p>
          <w:p>
            <w:pPr>
              <w:jc w:val="center"/>
            </w:pPr>
            <w:r>
              <w:t xml:space="preserve"> przeznaczona w MPZP pod zabudowę usługową z dopuszczeniem funkcji mieszkaniowej.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52.100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5"/>
        <w:gridCol w:w="7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61/2024 z dnia 12 lutego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2024-02-15T14:05:59Z</dcterms:created>
  <dcterms:modified xsi:type="dcterms:W3CDTF">2024-02-15T14:05:59Z</dcterms:modified>
  <cp:category>Akt prawny</cp:category>
</cp:coreProperties>
</file>