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25/2024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stycznia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zbycia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zbycia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rokowań.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zbycia,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120" w:line="360" w:lineRule="auto"/>
        <w:ind w:left="1047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25/2024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 stycznia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3"/>
        <w:gridCol w:w="2486"/>
        <w:gridCol w:w="1951"/>
        <w:gridCol w:w="1084"/>
        <w:gridCol w:w="896"/>
        <w:gridCol w:w="781"/>
        <w:gridCol w:w="3137"/>
        <w:gridCol w:w="1460"/>
        <w:gridCol w:w="239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Lp.                  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 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obręb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Al. Józefa Piłsudskiego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EL1E/00038678/1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847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0,0168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Nieruchomość gruntowa.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Zbycie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6) u.g.n., tj. celem poprawy warunków zagospodarowania nieruchomości przyległej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34.200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plus należny podatek VAT zgodnie z 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*Osoby,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art.34 ust.1 ustawy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gospodarce nieruchomościami nabywają nieruchomość za cenę określoną na podstawie art.67 ust.3 ustawy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gospodarce nieruchomościami.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Pierwszeństwo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nabyciu nieruchomości określonych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powyższym wykazie dotyczy osób, którym przysługuje roszczenie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nabycie nieruchomości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mocy ustawy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gospodarce nieruchomościami lub odrębnych przepisów, jeżeli złożą wniosek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jej nabycie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terminie 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tygodni, licząc od dnia wywieszenia wykazu.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Sporządziła: Katarzyna Zaborowska, Podinspektor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25/2024 z dnia 11 stycznia 2024 r.</dc:title>
  <dc:subject>w sprawie sporządzenia i^ogłoszenia wykazu nieruchomości przeznaczonych do zbycia</dc:subject>
  <dc:creator>kazab</dc:creator>
  <cp:lastModifiedBy>kazab</cp:lastModifiedBy>
  <cp:revision>1</cp:revision>
  <dcterms:created xsi:type="dcterms:W3CDTF">2024-01-18T10:58:46Z</dcterms:created>
  <dcterms:modified xsi:type="dcterms:W3CDTF">2024-01-18T10:58:46Z</dcterms:modified>
  <cp:category>Akt prawny</cp:category>
</cp:coreProperties>
</file>