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10/2024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stycznia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terminów zabudowy nieruchomości gruntowej,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położonej w Elblągu przy ul. Okólnik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zm.), Prezydent Miasta Elbląg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zmianę terminów zabudowy nieruchomości, określonych w §6 aktu notarialnego Rep. A nr 5240/2020 z dnia 26 czerwca 2020 r., zawartego przed Notariuszem Markiem Krull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Kancelarii Notarialnej w Elblągu, dotyczącego umowy przeniesienia prawa własności nieruchomości gruntowej, położonej w Elblągu przy ul. Okólnik, oznaczonej w 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20, jako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56/1 o pow. 1,0000 ha (obecnie po podziale geodezyjnym działka nr 56/44 o pow. 0,4019 ha i działka nr 56/45 o pow. 0,5981 ha),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Elblągu prowadzi księgę wieczystą ......................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rozpoczęcia zabudowy nieruchomości w terminie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 grudnia 2026 r. oraz zakończenia zabudowy do dnia 31 grudnia 2028 r. Za rozpoczęcie zabudowy uważa się wybudowanie fundamentów, a za zakończenie zabudowy uważa się wybudowanie budynków w stanie surowym zamkniętym wraz z elewacjami.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złożenia oświadczenia, w formie aktu notarialnego, iż: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rozpoczęcia zabudowy, o którym mowa w ust. 2, zobowiązuje się do zapłaty na rzecz Gminy Miasto Elbląg, kar umownych w wysokości po 70.000 zł (słownie złotych: siedemdziesiąt tysięcy), za każdy rozpoczęty rok kalendarzowy zwłoki, płatnych począwszy od 2027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zakończenia zabudowy, o którym mowa w ust. 2, zobowiązuje się do zapłaty na rzecz Gminy Miasto Elbląg, kar umownych w wysokości po 70.000 zł (słownie złotych: siedemdziesiąt tysięcy), za każdy rozpoczęty rok kalendarzowy zwłoki, płatnych począwszy od 2029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dobrowolnie podda się rygorowi egzekucji do kwoty 830.000 zł (słownie złotych: osiemset trzydzieści tysięcy), stosownie do przepisu art. 777 §1 pkt 5 Kpc. Gminie Miasto Elbląg będzie przysługiwało prawo do wystąpienia z wnioskiem o nadanie temu aktowi klauzuli wykonalności, w 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2040 r. Gmina Miasto Elbląg będzie uprawniona do prowadzenia egzekucji przeciwko dłużnikowi, o ile dłużnik nie zapłaci wyżej wskazanej kary umownej, w terminie jej płatności. Fakt nie dokonania przez dłużnika zapłaty należności w powyższych terminach, zostanie potwierdzony oświadczeniem złożonym przez Gminę Miasto Elbląg i dołączonym do wniosku o nadanie temu aktowi (tytułowi egzekucyjnemu) klauzuli wykonalności.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aktu notarialnego, którego koszty poniesie właściciel nieruchomości, opisanej w §1 ust. 1 niniejszego zarządzenia.</w:t>
      </w:r>
    </w:p>
    <w:sectPr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10/2024 z dnia 10 stycznia 2024 r.</dc:title>
  <dc:subject>w sprawie zmiany terminów zabudowy nieruchomości gruntowej,
położonej w^Elblągu przy ul. Okólnik</dc:subject>
  <dc:creator>kazab</dc:creator>
  <cp:lastModifiedBy>kazab</cp:lastModifiedBy>
  <cp:revision>1</cp:revision>
  <dcterms:created xsi:type="dcterms:W3CDTF">2024-01-15T11:37:24Z</dcterms:created>
  <dcterms:modified xsi:type="dcterms:W3CDTF">2024-01-15T11:37:24Z</dcterms:modified>
  <cp:category>Akt prawny</cp:category>
</cp:coreProperties>
</file>