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stycznia 2024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(t.j. 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43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17/2024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11 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0"/>
        <w:gridCol w:w="1905"/>
        <w:gridCol w:w="1170"/>
        <w:gridCol w:w="1035"/>
        <w:gridCol w:w="1080"/>
        <w:gridCol w:w="900"/>
        <w:gridCol w:w="2835"/>
        <w:gridCol w:w="1005"/>
        <w:gridCol w:w="1155"/>
        <w:gridCol w:w="1485"/>
        <w:gridCol w:w="1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Adres   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</w:t>
            </w:r>
          </w:p>
          <w:p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Gen. Józefa Bema 39/6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34586/1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0,0181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Lokal mieszkalny nr. 6 o pow. 42,7 m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wraz z przynależną piwnicą o pow. 4,6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. Z lokalem związany jest udział 0,13741 w częściach wspólnych i niepodzielnych oraz w prawie własności gruntu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105.000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97.574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udział w gruncie: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7.426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jc w:val="both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trHeight w:val="46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Podinspektor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17/2024 z dnia 11 stycznia 2024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2024-01-15T11:24:10Z</dcterms:created>
  <dcterms:modified xsi:type="dcterms:W3CDTF">2024-01-15T11:24:10Z</dcterms:modified>
  <cp:category>Akt prawny</cp:category>
</cp:coreProperties>
</file>