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014B7" w14:textId="05B7B376" w:rsidR="007F7904" w:rsidRPr="00875D08" w:rsidRDefault="007F7904" w:rsidP="00875D08">
      <w:pPr>
        <w:rPr>
          <w:rFonts w:ascii="Tahoma" w:hAnsi="Tahoma" w:cs="Tahoma"/>
          <w:sz w:val="20"/>
          <w:szCs w:val="20"/>
        </w:rPr>
      </w:pPr>
    </w:p>
    <w:p w14:paraId="736C5675" w14:textId="1E3DC73C" w:rsidR="007F7904" w:rsidRPr="00875D08" w:rsidRDefault="007F7904" w:rsidP="00875D08">
      <w:pPr>
        <w:rPr>
          <w:rFonts w:ascii="Tahoma" w:hAnsi="Tahoma" w:cs="Tahoma"/>
          <w:sz w:val="20"/>
          <w:szCs w:val="20"/>
        </w:rPr>
      </w:pPr>
    </w:p>
    <w:p w14:paraId="55AC233B" w14:textId="77777777" w:rsidR="005554EB" w:rsidRPr="005554EB" w:rsidRDefault="005554EB" w:rsidP="005554EB">
      <w:pPr>
        <w:widowControl/>
        <w:adjustRightInd w:val="0"/>
        <w:jc w:val="center"/>
        <w:rPr>
          <w:rFonts w:ascii="Times New Roman" w:eastAsia="Times New Roman" w:hAnsi="Times New Roman" w:cs="Times New Roman"/>
          <w:b/>
          <w:bCs/>
          <w:caps/>
          <w:lang w:eastAsia="pl-PL"/>
        </w:rPr>
      </w:pPr>
      <w:r w:rsidRPr="005554EB">
        <w:rPr>
          <w:rFonts w:ascii="Times New Roman" w:eastAsia="Times New Roman" w:hAnsi="Times New Roman" w:cs="Times New Roman"/>
          <w:b/>
          <w:bCs/>
          <w:caps/>
          <w:lang w:eastAsia="pl-PL"/>
        </w:rPr>
        <w:t>Zarządzenie Nr 82/2023</w:t>
      </w:r>
      <w:r w:rsidRPr="005554EB">
        <w:rPr>
          <w:rFonts w:ascii="Times New Roman" w:eastAsia="Times New Roman" w:hAnsi="Times New Roman" w:cs="Times New Roman"/>
          <w:b/>
          <w:bCs/>
          <w:caps/>
          <w:lang w:eastAsia="pl-PL"/>
        </w:rPr>
        <w:br/>
        <w:t>Prezydenta Miasta Elbląg</w:t>
      </w:r>
    </w:p>
    <w:p w14:paraId="47D07DDA" w14:textId="77777777" w:rsidR="005554EB" w:rsidRPr="005554EB" w:rsidRDefault="005554EB" w:rsidP="005554EB">
      <w:pPr>
        <w:widowControl/>
        <w:adjustRightInd w:val="0"/>
        <w:spacing w:before="280" w:after="280"/>
        <w:jc w:val="center"/>
        <w:rPr>
          <w:rFonts w:ascii="Times New Roman" w:eastAsia="Times New Roman" w:hAnsi="Times New Roman" w:cs="Times New Roman"/>
          <w:b/>
          <w:bCs/>
          <w:caps/>
          <w:lang w:eastAsia="pl-PL"/>
        </w:rPr>
      </w:pPr>
      <w:r w:rsidRPr="005554EB">
        <w:rPr>
          <w:rFonts w:ascii="Times New Roman" w:eastAsia="Times New Roman" w:hAnsi="Times New Roman" w:cs="Times New Roman"/>
          <w:lang w:eastAsia="pl-PL"/>
        </w:rPr>
        <w:t>z dnia 7 marca 2023 r.</w:t>
      </w:r>
    </w:p>
    <w:p w14:paraId="2478F1DC" w14:textId="77777777" w:rsidR="005554EB" w:rsidRPr="005554EB" w:rsidRDefault="005554EB" w:rsidP="005554EB">
      <w:pPr>
        <w:keepNext/>
        <w:widowControl/>
        <w:adjustRightInd w:val="0"/>
        <w:spacing w:after="480"/>
        <w:jc w:val="center"/>
        <w:rPr>
          <w:rFonts w:ascii="Times New Roman" w:eastAsia="Times New Roman" w:hAnsi="Times New Roman" w:cs="Times New Roman"/>
          <w:lang w:eastAsia="pl-PL"/>
        </w:rPr>
      </w:pPr>
      <w:r w:rsidRPr="005554EB">
        <w:rPr>
          <w:rFonts w:ascii="Times New Roman" w:eastAsia="Times New Roman" w:hAnsi="Times New Roman" w:cs="Times New Roman"/>
          <w:b/>
          <w:bCs/>
          <w:lang w:eastAsia="pl-PL"/>
        </w:rPr>
        <w:t>w sprawie wprowadzenia regulaminu naboru wniosków w ramach Programu Priorytetowego ,,Ciepłe Mieszkanie" w Gminie Miasto Elbląg na lata 2023 - 2025</w:t>
      </w:r>
    </w:p>
    <w:p w14:paraId="4EE33A58" w14:textId="77777777" w:rsidR="005554EB" w:rsidRPr="005554EB" w:rsidRDefault="005554EB" w:rsidP="005554EB">
      <w:pPr>
        <w:keepLines/>
        <w:widowControl/>
        <w:adjustRightInd w:val="0"/>
        <w:spacing w:before="120" w:after="120"/>
        <w:ind w:firstLine="227"/>
        <w:jc w:val="both"/>
        <w:rPr>
          <w:rFonts w:ascii="Times New Roman" w:eastAsia="Times New Roman" w:hAnsi="Times New Roman" w:cs="Times New Roman"/>
          <w:lang w:eastAsia="pl-PL"/>
        </w:rPr>
      </w:pPr>
      <w:r w:rsidRPr="005554EB">
        <w:rPr>
          <w:rFonts w:ascii="Times New Roman" w:eastAsia="Times New Roman" w:hAnsi="Times New Roman" w:cs="Times New Roman"/>
          <w:lang w:eastAsia="pl-PL"/>
        </w:rPr>
        <w:t>Na podstawie art. 7 ust. 1 pkt 1 oraz art. 30 ust. 1 ustawy z dnia 8 marca 1990 r. o samorządzie gminnym (Dz. U. z 2023 r. poz. 40), zarządza się, co następuje:</w:t>
      </w:r>
    </w:p>
    <w:p w14:paraId="7E422F5C" w14:textId="77777777" w:rsidR="005554EB" w:rsidRPr="005554EB" w:rsidRDefault="005554EB" w:rsidP="005554EB">
      <w:pPr>
        <w:keepLines/>
        <w:widowControl/>
        <w:adjustRightInd w:val="0"/>
        <w:spacing w:before="120" w:after="120"/>
        <w:ind w:firstLine="340"/>
        <w:jc w:val="both"/>
        <w:rPr>
          <w:rFonts w:ascii="Times New Roman" w:eastAsia="Times New Roman" w:hAnsi="Times New Roman" w:cs="Times New Roman"/>
          <w:lang w:eastAsia="pl-PL"/>
        </w:rPr>
      </w:pPr>
      <w:r w:rsidRPr="005554EB">
        <w:rPr>
          <w:rFonts w:ascii="Times New Roman" w:eastAsia="Times New Roman" w:hAnsi="Times New Roman" w:cs="Times New Roman"/>
          <w:b/>
          <w:bCs/>
          <w:lang w:eastAsia="pl-PL"/>
        </w:rPr>
        <w:t>§ 1. </w:t>
      </w:r>
      <w:r w:rsidRPr="005554EB">
        <w:rPr>
          <w:rFonts w:ascii="Times New Roman" w:eastAsia="Times New Roman" w:hAnsi="Times New Roman" w:cs="Times New Roman"/>
          <w:lang w:eastAsia="pl-PL"/>
        </w:rPr>
        <w:t>Wprowadza się „Regulamin naboru wniosków o dofinansowanie przedsięwzięć w ramach Programu Priorytetowego ,,Ciepłe Mieszkanie” w Gminie Miasto Elbląg" stanowiący załącznik Nr 1 do Zarządzenia.</w:t>
      </w:r>
    </w:p>
    <w:p w14:paraId="4C1FE41E" w14:textId="77777777" w:rsidR="005554EB" w:rsidRPr="005554EB" w:rsidRDefault="005554EB" w:rsidP="005554EB">
      <w:pPr>
        <w:widowControl/>
        <w:adjustRightInd w:val="0"/>
        <w:spacing w:before="120" w:after="120"/>
        <w:ind w:left="340" w:hanging="227"/>
        <w:jc w:val="both"/>
        <w:rPr>
          <w:rFonts w:ascii="Times New Roman" w:eastAsia="Times New Roman" w:hAnsi="Times New Roman" w:cs="Times New Roman"/>
          <w:lang w:eastAsia="pl-PL"/>
        </w:rPr>
      </w:pPr>
      <w:r w:rsidRPr="005554EB">
        <w:rPr>
          <w:rFonts w:ascii="Times New Roman" w:eastAsia="Times New Roman" w:hAnsi="Times New Roman" w:cs="Times New Roman"/>
          <w:lang w:eastAsia="pl-PL"/>
        </w:rPr>
        <w:t>1) Wzór wniosku o dofinansowanie w ramach programu ”Ciepłe Mieszkanie„ w Gminie Miasto Elbląg stanowiący załącznik Nr 1 do Regulaminu.</w:t>
      </w:r>
    </w:p>
    <w:p w14:paraId="7E7F2AF0" w14:textId="77777777" w:rsidR="005554EB" w:rsidRPr="005554EB" w:rsidRDefault="005554EB" w:rsidP="005554EB">
      <w:pPr>
        <w:widowControl/>
        <w:adjustRightInd w:val="0"/>
        <w:spacing w:before="120" w:after="120"/>
        <w:ind w:left="340" w:hanging="227"/>
        <w:jc w:val="both"/>
        <w:rPr>
          <w:rFonts w:ascii="Times New Roman" w:eastAsia="Times New Roman" w:hAnsi="Times New Roman" w:cs="Times New Roman"/>
          <w:lang w:eastAsia="pl-PL"/>
        </w:rPr>
      </w:pPr>
      <w:r w:rsidRPr="005554EB">
        <w:rPr>
          <w:rFonts w:ascii="Times New Roman" w:eastAsia="Times New Roman" w:hAnsi="Times New Roman" w:cs="Times New Roman"/>
          <w:lang w:eastAsia="pl-PL"/>
        </w:rPr>
        <w:t>2) Wzór umowy na dofinansowanie przedsięwzięcia w ramach Programu Priorytetowego "Ciepłe Mieszkanie" w Gminie Miasto Elbląg stanowiący załącznik Nr 2 do Regulaminu.</w:t>
      </w:r>
    </w:p>
    <w:p w14:paraId="6F9F236F" w14:textId="77777777" w:rsidR="005554EB" w:rsidRPr="005554EB" w:rsidRDefault="005554EB" w:rsidP="005554EB">
      <w:pPr>
        <w:widowControl/>
        <w:adjustRightInd w:val="0"/>
        <w:spacing w:before="120" w:after="120"/>
        <w:ind w:left="340" w:hanging="227"/>
        <w:jc w:val="both"/>
        <w:rPr>
          <w:rFonts w:ascii="Times New Roman" w:eastAsia="Times New Roman" w:hAnsi="Times New Roman" w:cs="Times New Roman"/>
          <w:lang w:eastAsia="pl-PL"/>
        </w:rPr>
      </w:pPr>
      <w:r w:rsidRPr="005554EB">
        <w:rPr>
          <w:rFonts w:ascii="Times New Roman" w:eastAsia="Times New Roman" w:hAnsi="Times New Roman" w:cs="Times New Roman"/>
          <w:lang w:eastAsia="pl-PL"/>
        </w:rPr>
        <w:t>3) Wzór wniosku o płatność w ramach programu „Ciepłe Mieszkanie" w Gminie Miasto Elbląg stanowiący załącznik Nr 3 do Regulaminu.</w:t>
      </w:r>
    </w:p>
    <w:p w14:paraId="471F490B" w14:textId="77777777" w:rsidR="005554EB" w:rsidRPr="005554EB" w:rsidRDefault="005554EB" w:rsidP="005554EB">
      <w:pPr>
        <w:keepLines/>
        <w:widowControl/>
        <w:adjustRightInd w:val="0"/>
        <w:spacing w:before="120" w:after="120"/>
        <w:ind w:firstLine="340"/>
        <w:jc w:val="both"/>
        <w:rPr>
          <w:rFonts w:ascii="Times New Roman" w:eastAsia="Times New Roman" w:hAnsi="Times New Roman" w:cs="Times New Roman"/>
          <w:lang w:eastAsia="pl-PL"/>
        </w:rPr>
      </w:pPr>
      <w:r w:rsidRPr="005554EB">
        <w:rPr>
          <w:rFonts w:ascii="Times New Roman" w:eastAsia="Times New Roman" w:hAnsi="Times New Roman" w:cs="Times New Roman"/>
          <w:b/>
          <w:bCs/>
          <w:lang w:eastAsia="pl-PL"/>
        </w:rPr>
        <w:t>§ 2. </w:t>
      </w:r>
      <w:r w:rsidRPr="005554EB">
        <w:rPr>
          <w:rFonts w:ascii="Times New Roman" w:eastAsia="Times New Roman" w:hAnsi="Times New Roman" w:cs="Times New Roman"/>
          <w:lang w:eastAsia="pl-PL"/>
        </w:rPr>
        <w:t>Ogłoszenie o naborze wniosków o dofinansowanie w ramach Programu Priorytetowego "Ciepłe Mieszkanie" stanowi Załącznik Nr 2 do Zarządzenia.</w:t>
      </w:r>
    </w:p>
    <w:p w14:paraId="1641FE3F" w14:textId="77777777" w:rsidR="005554EB" w:rsidRPr="005554EB" w:rsidRDefault="005554EB" w:rsidP="005554EB">
      <w:pPr>
        <w:keepLines/>
        <w:widowControl/>
        <w:adjustRightInd w:val="0"/>
        <w:spacing w:before="120" w:after="120"/>
        <w:ind w:firstLine="340"/>
        <w:jc w:val="both"/>
        <w:rPr>
          <w:rFonts w:ascii="Times New Roman" w:eastAsia="Times New Roman" w:hAnsi="Times New Roman" w:cs="Times New Roman"/>
          <w:lang w:eastAsia="pl-PL"/>
        </w:rPr>
      </w:pPr>
      <w:r w:rsidRPr="005554EB">
        <w:rPr>
          <w:rFonts w:ascii="Times New Roman" w:eastAsia="Times New Roman" w:hAnsi="Times New Roman" w:cs="Times New Roman"/>
          <w:b/>
          <w:bCs/>
          <w:lang w:eastAsia="pl-PL"/>
        </w:rPr>
        <w:t>§ 3. </w:t>
      </w:r>
      <w:r w:rsidRPr="005554EB">
        <w:rPr>
          <w:rFonts w:ascii="Times New Roman" w:eastAsia="Times New Roman" w:hAnsi="Times New Roman" w:cs="Times New Roman"/>
          <w:lang w:eastAsia="pl-PL"/>
        </w:rPr>
        <w:t>Wykonanie zarządzenia powierza się Departamentowi Ochrony Środowiska i Departamentowi Skarbnika Miasta.</w:t>
      </w:r>
    </w:p>
    <w:p w14:paraId="7CC362CB" w14:textId="77777777" w:rsidR="005554EB" w:rsidRPr="005554EB" w:rsidRDefault="005554EB" w:rsidP="005554EB">
      <w:pPr>
        <w:keepLines/>
        <w:widowControl/>
        <w:adjustRightInd w:val="0"/>
        <w:spacing w:before="120" w:after="120"/>
        <w:ind w:firstLine="340"/>
        <w:jc w:val="both"/>
        <w:rPr>
          <w:rFonts w:ascii="Times New Roman" w:eastAsia="Times New Roman" w:hAnsi="Times New Roman" w:cs="Times New Roman"/>
          <w:lang w:eastAsia="pl-PL"/>
        </w:rPr>
      </w:pPr>
      <w:r w:rsidRPr="005554EB">
        <w:rPr>
          <w:rFonts w:ascii="Times New Roman" w:eastAsia="Times New Roman" w:hAnsi="Times New Roman" w:cs="Times New Roman"/>
          <w:b/>
          <w:bCs/>
          <w:lang w:eastAsia="pl-PL"/>
        </w:rPr>
        <w:t>§ 4. </w:t>
      </w:r>
      <w:r w:rsidRPr="005554EB">
        <w:rPr>
          <w:rFonts w:ascii="Times New Roman" w:eastAsia="Times New Roman" w:hAnsi="Times New Roman" w:cs="Times New Roman"/>
          <w:lang w:eastAsia="pl-PL"/>
        </w:rPr>
        <w:t>Zarządzenie wchodzi w życie z dniem podpisania i podlega ogłoszeniu w sposób zwyczajowo przyjęty.</w:t>
      </w:r>
    </w:p>
    <w:p w14:paraId="1400BBF6" w14:textId="6EB1F084" w:rsidR="005554EB" w:rsidRDefault="005554EB">
      <w:pPr>
        <w:rPr>
          <w:rFonts w:asciiTheme="minorHAnsi" w:hAnsiTheme="minorHAnsi" w:cstheme="minorHAnsi"/>
        </w:rPr>
      </w:pPr>
      <w:r>
        <w:rPr>
          <w:rFonts w:asciiTheme="minorHAnsi" w:hAnsiTheme="minorHAnsi" w:cstheme="minorHAnsi"/>
        </w:rPr>
        <w:br w:type="page"/>
      </w:r>
    </w:p>
    <w:p w14:paraId="53253D19" w14:textId="77777777" w:rsidR="005554EB" w:rsidRDefault="005554EB" w:rsidP="005554EB">
      <w:pPr>
        <w:widowControl/>
        <w:adjustRightInd w:val="0"/>
        <w:spacing w:before="120" w:after="120"/>
        <w:jc w:val="center"/>
        <w:rPr>
          <w:rFonts w:ascii="Times New Roman" w:eastAsia="Times New Roman" w:hAnsi="Times New Roman" w:cs="Times New Roman"/>
          <w:b/>
          <w:bCs/>
          <w:lang w:eastAsia="pl-PL"/>
        </w:rPr>
      </w:pPr>
    </w:p>
    <w:p w14:paraId="56A5C778" w14:textId="77777777" w:rsidR="005554EB" w:rsidRDefault="005554EB" w:rsidP="005554EB">
      <w:pPr>
        <w:widowControl/>
        <w:adjustRightInd w:val="0"/>
        <w:spacing w:before="120" w:after="120"/>
        <w:jc w:val="center"/>
        <w:rPr>
          <w:rFonts w:ascii="Times New Roman" w:eastAsia="Times New Roman" w:hAnsi="Times New Roman" w:cs="Times New Roman"/>
          <w:b/>
          <w:bCs/>
          <w:lang w:eastAsia="pl-PL"/>
        </w:rPr>
      </w:pPr>
    </w:p>
    <w:p w14:paraId="70BCF739" w14:textId="77777777" w:rsidR="005554EB" w:rsidRPr="005554EB" w:rsidRDefault="005554EB" w:rsidP="005554EB">
      <w:pPr>
        <w:widowControl/>
        <w:adjustRightInd w:val="0"/>
        <w:spacing w:before="120" w:after="120"/>
        <w:jc w:val="center"/>
        <w:rPr>
          <w:rFonts w:ascii="Times New Roman" w:eastAsia="Times New Roman" w:hAnsi="Times New Roman" w:cs="Times New Roman"/>
          <w:color w:val="000000"/>
          <w:lang w:eastAsia="pl-PL"/>
        </w:rPr>
      </w:pPr>
      <w:bookmarkStart w:id="0" w:name="_GoBack"/>
      <w:bookmarkEnd w:id="0"/>
      <w:r w:rsidRPr="005554EB">
        <w:rPr>
          <w:rFonts w:ascii="Times New Roman" w:eastAsia="Times New Roman" w:hAnsi="Times New Roman" w:cs="Times New Roman"/>
          <w:b/>
          <w:bCs/>
          <w:lang w:eastAsia="pl-PL"/>
        </w:rPr>
        <w:t>Uzasadnienie</w:t>
      </w:r>
    </w:p>
    <w:p w14:paraId="1C652C96" w14:textId="77777777" w:rsidR="005554EB" w:rsidRPr="005554EB" w:rsidRDefault="005554EB" w:rsidP="005554EB">
      <w:pPr>
        <w:widowControl/>
        <w:adjustRightInd w:val="0"/>
        <w:jc w:val="both"/>
        <w:rPr>
          <w:rFonts w:ascii="Times New Roman" w:eastAsia="Times New Roman" w:hAnsi="Times New Roman" w:cs="Times New Roman"/>
          <w:color w:val="000000"/>
          <w:lang w:eastAsia="pl-PL"/>
        </w:rPr>
      </w:pPr>
      <w:r w:rsidRPr="005554EB">
        <w:rPr>
          <w:rFonts w:ascii="Times New Roman" w:eastAsia="Times New Roman" w:hAnsi="Times New Roman" w:cs="Times New Roman"/>
          <w:color w:val="000000"/>
          <w:u w:color="000000"/>
          <w:lang w:eastAsia="pl-PL"/>
        </w:rPr>
        <w:t>Program Priorytetowy ,,Ciepłe Mieszkanie’’ skierowany jest do osób fizycznych posiadających tytuł prawny wynikający z prawa własności lub ograniczonego prawa rzeczowego do lokalów mieszkalnych, znajdujących się w budynkach wielorodzinnych położonych na terenie Gminy Miasta Elbląg. Celem programu jest poprawa jakości powietrza oraz zmniejszenie emisji pyłów oraz gazów cieplarnianych. Dotację przyznaje się na demontaż wszystkich nieefektywnych źródeł ciepła na paliwa stałe służących do ogrzewania lokalu mieszkalnego oraz</w:t>
      </w:r>
    </w:p>
    <w:p w14:paraId="706C391A" w14:textId="77777777" w:rsidR="005554EB" w:rsidRPr="005554EB" w:rsidRDefault="005554EB" w:rsidP="005554EB">
      <w:pPr>
        <w:keepLines/>
        <w:widowControl/>
        <w:adjustRightInd w:val="0"/>
        <w:spacing w:before="120" w:after="120"/>
        <w:ind w:left="227" w:hanging="227"/>
        <w:jc w:val="both"/>
        <w:rPr>
          <w:rFonts w:ascii="Times New Roman" w:eastAsia="Times New Roman" w:hAnsi="Times New Roman" w:cs="Times New Roman"/>
          <w:color w:val="000000"/>
          <w:lang w:eastAsia="pl-PL"/>
        </w:rPr>
      </w:pPr>
      <w:r w:rsidRPr="005554EB">
        <w:rPr>
          <w:rFonts w:ascii="Times New Roman" w:eastAsia="Times New Roman" w:hAnsi="Times New Roman" w:cs="Times New Roman"/>
          <w:lang w:eastAsia="pl-PL"/>
        </w:rPr>
        <w:t>a) </w:t>
      </w:r>
      <w:r w:rsidRPr="005554EB">
        <w:rPr>
          <w:rFonts w:ascii="Times New Roman" w:eastAsia="Times New Roman" w:hAnsi="Times New Roman" w:cs="Times New Roman"/>
          <w:color w:val="000000"/>
          <w:u w:color="000000"/>
          <w:lang w:eastAsia="pl-PL"/>
        </w:rPr>
        <w:t>zakup i montaż źródła ciepła do celów ogrzewania lub ogrzewania i ciepłej wody użytkowej albo</w:t>
      </w:r>
    </w:p>
    <w:p w14:paraId="02D786A5" w14:textId="77777777" w:rsidR="005554EB" w:rsidRPr="005554EB" w:rsidRDefault="005554EB" w:rsidP="005554EB">
      <w:pPr>
        <w:keepLines/>
        <w:widowControl/>
        <w:adjustRightInd w:val="0"/>
        <w:spacing w:before="120" w:after="120"/>
        <w:ind w:left="227" w:hanging="227"/>
        <w:jc w:val="both"/>
        <w:rPr>
          <w:rFonts w:ascii="Times New Roman" w:eastAsia="Times New Roman" w:hAnsi="Times New Roman" w:cs="Times New Roman"/>
          <w:color w:val="000000"/>
          <w:lang w:eastAsia="pl-PL"/>
        </w:rPr>
      </w:pPr>
      <w:r w:rsidRPr="005554EB">
        <w:rPr>
          <w:rFonts w:ascii="Times New Roman" w:eastAsia="Times New Roman" w:hAnsi="Times New Roman" w:cs="Times New Roman"/>
          <w:lang w:eastAsia="pl-PL"/>
        </w:rPr>
        <w:t>b) </w:t>
      </w:r>
      <w:r w:rsidRPr="005554EB">
        <w:rPr>
          <w:rFonts w:ascii="Times New Roman" w:eastAsia="Times New Roman" w:hAnsi="Times New Roman" w:cs="Times New Roman"/>
          <w:color w:val="000000"/>
          <w:u w:color="000000"/>
          <w:lang w:eastAsia="pl-PL"/>
        </w:rPr>
        <w:t>podłączenie lokalu mieszkalnego do efektywnego źródła ciepła w budynku Dodatkowo mogą być wykonane:</w:t>
      </w:r>
    </w:p>
    <w:p w14:paraId="21552682" w14:textId="77777777" w:rsidR="005554EB" w:rsidRPr="005554EB" w:rsidRDefault="005554EB" w:rsidP="005554EB">
      <w:pPr>
        <w:keepLines/>
        <w:widowControl/>
        <w:adjustRightInd w:val="0"/>
        <w:spacing w:before="120" w:after="120"/>
        <w:ind w:left="227" w:hanging="227"/>
        <w:jc w:val="both"/>
        <w:rPr>
          <w:rFonts w:ascii="Times New Roman" w:eastAsia="Times New Roman" w:hAnsi="Times New Roman" w:cs="Times New Roman"/>
          <w:color w:val="000000"/>
          <w:lang w:eastAsia="pl-PL"/>
        </w:rPr>
      </w:pPr>
      <w:r w:rsidRPr="005554EB">
        <w:rPr>
          <w:rFonts w:ascii="Times New Roman" w:eastAsia="Times New Roman" w:hAnsi="Times New Roman" w:cs="Times New Roman"/>
          <w:lang w:eastAsia="pl-PL"/>
        </w:rPr>
        <w:t>c) </w:t>
      </w:r>
      <w:r w:rsidRPr="005554EB">
        <w:rPr>
          <w:rFonts w:ascii="Times New Roman" w:eastAsia="Times New Roman" w:hAnsi="Times New Roman" w:cs="Times New Roman"/>
          <w:color w:val="000000"/>
          <w:u w:color="000000"/>
          <w:lang w:eastAsia="pl-PL"/>
        </w:rPr>
        <w:t>demontaż oraz zakup i montaż nowej instalacji centralnego ogrzewania i/lub ciepłej wody użytkowej w lokalu mieszkalnym, instalacji gazowej od przyłącza gazowego / zbiornika na gaz do kotła,</w:t>
      </w:r>
    </w:p>
    <w:p w14:paraId="5AB31667" w14:textId="77777777" w:rsidR="005554EB" w:rsidRPr="005554EB" w:rsidRDefault="005554EB" w:rsidP="005554EB">
      <w:pPr>
        <w:keepLines/>
        <w:widowControl/>
        <w:adjustRightInd w:val="0"/>
        <w:spacing w:before="120" w:after="120"/>
        <w:ind w:left="227" w:hanging="227"/>
        <w:jc w:val="both"/>
        <w:rPr>
          <w:rFonts w:ascii="Times New Roman" w:eastAsia="Times New Roman" w:hAnsi="Times New Roman" w:cs="Times New Roman"/>
          <w:color w:val="000000"/>
          <w:lang w:eastAsia="pl-PL"/>
        </w:rPr>
      </w:pPr>
      <w:r w:rsidRPr="005554EB">
        <w:rPr>
          <w:rFonts w:ascii="Times New Roman" w:eastAsia="Times New Roman" w:hAnsi="Times New Roman" w:cs="Times New Roman"/>
          <w:lang w:eastAsia="pl-PL"/>
        </w:rPr>
        <w:t>d) </w:t>
      </w:r>
      <w:r w:rsidRPr="005554EB">
        <w:rPr>
          <w:rFonts w:ascii="Times New Roman" w:eastAsia="Times New Roman" w:hAnsi="Times New Roman" w:cs="Times New Roman"/>
          <w:color w:val="000000"/>
          <w:u w:color="000000"/>
          <w:lang w:eastAsia="pl-PL"/>
        </w:rPr>
        <w:t>zakup i montaż okien w lokalu mieszkalnym lub drzwi oddzielających lokal od przestrzeni nieogrzewanej lub środowiska zewnętrznego (zawiera również demontaż),</w:t>
      </w:r>
    </w:p>
    <w:p w14:paraId="236F61B5" w14:textId="77777777" w:rsidR="005554EB" w:rsidRPr="005554EB" w:rsidRDefault="005554EB" w:rsidP="005554EB">
      <w:pPr>
        <w:keepLines/>
        <w:widowControl/>
        <w:adjustRightInd w:val="0"/>
        <w:spacing w:before="120" w:after="120"/>
        <w:ind w:left="227" w:hanging="227"/>
        <w:jc w:val="both"/>
        <w:rPr>
          <w:rFonts w:ascii="Times New Roman" w:eastAsia="Times New Roman" w:hAnsi="Times New Roman" w:cs="Times New Roman"/>
          <w:color w:val="000000"/>
          <w:lang w:eastAsia="pl-PL"/>
        </w:rPr>
      </w:pPr>
      <w:r w:rsidRPr="005554EB">
        <w:rPr>
          <w:rFonts w:ascii="Times New Roman" w:eastAsia="Times New Roman" w:hAnsi="Times New Roman" w:cs="Times New Roman"/>
          <w:lang w:eastAsia="pl-PL"/>
        </w:rPr>
        <w:t>e) </w:t>
      </w:r>
      <w:r w:rsidRPr="005554EB">
        <w:rPr>
          <w:rFonts w:ascii="Times New Roman" w:eastAsia="Times New Roman" w:hAnsi="Times New Roman" w:cs="Times New Roman"/>
          <w:color w:val="000000"/>
          <w:u w:color="000000"/>
          <w:lang w:eastAsia="pl-PL"/>
        </w:rPr>
        <w:t>zakup i montaż wentylacji mechanicznej z odzyskiem ciepła w lokalu mieszkalnym,</w:t>
      </w:r>
    </w:p>
    <w:p w14:paraId="03043300" w14:textId="77777777" w:rsidR="005554EB" w:rsidRPr="005554EB" w:rsidRDefault="005554EB" w:rsidP="005554EB">
      <w:pPr>
        <w:keepLines/>
        <w:widowControl/>
        <w:adjustRightInd w:val="0"/>
        <w:spacing w:before="120" w:after="120"/>
        <w:ind w:left="227" w:hanging="227"/>
        <w:jc w:val="both"/>
        <w:rPr>
          <w:rFonts w:ascii="Times New Roman" w:eastAsia="Times New Roman" w:hAnsi="Times New Roman" w:cs="Times New Roman"/>
          <w:color w:val="000000"/>
          <w:lang w:eastAsia="pl-PL"/>
        </w:rPr>
      </w:pPr>
      <w:r w:rsidRPr="005554EB">
        <w:rPr>
          <w:rFonts w:ascii="Times New Roman" w:eastAsia="Times New Roman" w:hAnsi="Times New Roman" w:cs="Times New Roman"/>
          <w:lang w:eastAsia="pl-PL"/>
        </w:rPr>
        <w:t>f) </w:t>
      </w:r>
      <w:r w:rsidRPr="005554EB">
        <w:rPr>
          <w:rFonts w:ascii="Times New Roman" w:eastAsia="Times New Roman" w:hAnsi="Times New Roman" w:cs="Times New Roman"/>
          <w:color w:val="000000"/>
          <w:u w:color="000000"/>
          <w:lang w:eastAsia="pl-PL"/>
        </w:rPr>
        <w:t>dokumentacja projektowa dotycząca powyższego zakresu. Środki na realizację programu przekazywane będą Gminie Miasto Elbląg w formie dotacji z Narodowego Funduszu Ochrony Środowiska i Gospodarki Wodnej za pośrednictwem Wojewódzkiego Funduszu Ochrony Środowiska i Gospodarki Wodnej w Olsztynie. Obowiązkiem Gminy Miasto Elbląg jest przeprowadzanie naboru wniosków oraz rozliczanie umów o dofinansowanie dla Beneficjentów końcowych Programu „Ciepłe Mieszkanie”, zgodnie z wytycznymi opracowanymi przez Narodowy Fundusz Ochrony Środowiska i zawartą w dniu 24.01.2023 r. umową pomiędzy Gminą Miasto Elbląg a Wojewódzkim Funduszem Ochrony Środowiska i Gospodarki Wodnej w Olsztynie.</w:t>
      </w:r>
    </w:p>
    <w:p w14:paraId="3B64F203" w14:textId="77777777" w:rsidR="007F7904" w:rsidRPr="005815A3" w:rsidRDefault="007F7904" w:rsidP="005554EB">
      <w:pPr>
        <w:jc w:val="center"/>
        <w:rPr>
          <w:rFonts w:asciiTheme="minorHAnsi" w:hAnsiTheme="minorHAnsi" w:cstheme="minorHAnsi"/>
        </w:rPr>
      </w:pPr>
    </w:p>
    <w:sectPr w:rsidR="007F7904" w:rsidRPr="005815A3">
      <w:type w:val="continuous"/>
      <w:pgSz w:w="11910" w:h="16840"/>
      <w:pgMar w:top="440" w:right="1140" w:bottom="28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6519"/>
    <w:multiLevelType w:val="hybridMultilevel"/>
    <w:tmpl w:val="85B4F488"/>
    <w:lvl w:ilvl="0" w:tplc="91BA1FDE">
      <w:start w:val="1"/>
      <w:numFmt w:val="lowerLetter"/>
      <w:lvlText w:val="%1)"/>
      <w:lvlJc w:val="left"/>
      <w:pPr>
        <w:ind w:left="1251" w:hanging="360"/>
        <w:jc w:val="left"/>
      </w:pPr>
      <w:rPr>
        <w:rFonts w:ascii="Calibri" w:eastAsia="Calibri" w:hAnsi="Calibri" w:cs="Calibri" w:hint="default"/>
        <w:spacing w:val="-1"/>
        <w:w w:val="100"/>
        <w:sz w:val="22"/>
        <w:szCs w:val="22"/>
        <w:lang w:val="pl-PL" w:eastAsia="en-US" w:bidi="ar-SA"/>
      </w:rPr>
    </w:lvl>
    <w:lvl w:ilvl="1" w:tplc="FBA8F78C">
      <w:numFmt w:val="bullet"/>
      <w:lvlText w:val="•"/>
      <w:lvlJc w:val="left"/>
      <w:pPr>
        <w:ind w:left="2064" w:hanging="360"/>
      </w:pPr>
      <w:rPr>
        <w:rFonts w:hint="default"/>
        <w:lang w:val="pl-PL" w:eastAsia="en-US" w:bidi="ar-SA"/>
      </w:rPr>
    </w:lvl>
    <w:lvl w:ilvl="2" w:tplc="6C0A31EC">
      <w:numFmt w:val="bullet"/>
      <w:lvlText w:val="•"/>
      <w:lvlJc w:val="left"/>
      <w:pPr>
        <w:ind w:left="2869" w:hanging="360"/>
      </w:pPr>
      <w:rPr>
        <w:rFonts w:hint="default"/>
        <w:lang w:val="pl-PL" w:eastAsia="en-US" w:bidi="ar-SA"/>
      </w:rPr>
    </w:lvl>
    <w:lvl w:ilvl="3" w:tplc="A9DC01B2">
      <w:numFmt w:val="bullet"/>
      <w:lvlText w:val="•"/>
      <w:lvlJc w:val="left"/>
      <w:pPr>
        <w:ind w:left="3673" w:hanging="360"/>
      </w:pPr>
      <w:rPr>
        <w:rFonts w:hint="default"/>
        <w:lang w:val="pl-PL" w:eastAsia="en-US" w:bidi="ar-SA"/>
      </w:rPr>
    </w:lvl>
    <w:lvl w:ilvl="4" w:tplc="48F8D18A">
      <w:numFmt w:val="bullet"/>
      <w:lvlText w:val="•"/>
      <w:lvlJc w:val="left"/>
      <w:pPr>
        <w:ind w:left="4478" w:hanging="360"/>
      </w:pPr>
      <w:rPr>
        <w:rFonts w:hint="default"/>
        <w:lang w:val="pl-PL" w:eastAsia="en-US" w:bidi="ar-SA"/>
      </w:rPr>
    </w:lvl>
    <w:lvl w:ilvl="5" w:tplc="39FCCDE4">
      <w:numFmt w:val="bullet"/>
      <w:lvlText w:val="•"/>
      <w:lvlJc w:val="left"/>
      <w:pPr>
        <w:ind w:left="5283" w:hanging="360"/>
      </w:pPr>
      <w:rPr>
        <w:rFonts w:hint="default"/>
        <w:lang w:val="pl-PL" w:eastAsia="en-US" w:bidi="ar-SA"/>
      </w:rPr>
    </w:lvl>
    <w:lvl w:ilvl="6" w:tplc="49549C88">
      <w:numFmt w:val="bullet"/>
      <w:lvlText w:val="•"/>
      <w:lvlJc w:val="left"/>
      <w:pPr>
        <w:ind w:left="6087" w:hanging="360"/>
      </w:pPr>
      <w:rPr>
        <w:rFonts w:hint="default"/>
        <w:lang w:val="pl-PL" w:eastAsia="en-US" w:bidi="ar-SA"/>
      </w:rPr>
    </w:lvl>
    <w:lvl w:ilvl="7" w:tplc="A05C5F32">
      <w:numFmt w:val="bullet"/>
      <w:lvlText w:val="•"/>
      <w:lvlJc w:val="left"/>
      <w:pPr>
        <w:ind w:left="6892" w:hanging="360"/>
      </w:pPr>
      <w:rPr>
        <w:rFonts w:hint="default"/>
        <w:lang w:val="pl-PL" w:eastAsia="en-US" w:bidi="ar-SA"/>
      </w:rPr>
    </w:lvl>
    <w:lvl w:ilvl="8" w:tplc="6EF8AC56">
      <w:numFmt w:val="bullet"/>
      <w:lvlText w:val="•"/>
      <w:lvlJc w:val="left"/>
      <w:pPr>
        <w:ind w:left="7697" w:hanging="360"/>
      </w:pPr>
      <w:rPr>
        <w:rFonts w:hint="default"/>
        <w:lang w:val="pl-PL" w:eastAsia="en-US" w:bidi="ar-SA"/>
      </w:rPr>
    </w:lvl>
  </w:abstractNum>
  <w:abstractNum w:abstractNumId="1" w15:restartNumberingAfterBreak="0">
    <w:nsid w:val="3F5D2196"/>
    <w:multiLevelType w:val="hybridMultilevel"/>
    <w:tmpl w:val="5022B752"/>
    <w:lvl w:ilvl="0" w:tplc="6E4E2E82">
      <w:start w:val="2"/>
      <w:numFmt w:val="decimal"/>
      <w:lvlText w:val="%1."/>
      <w:lvlJc w:val="left"/>
      <w:pPr>
        <w:ind w:left="1007" w:hanging="218"/>
      </w:pPr>
      <w:rPr>
        <w:rFonts w:ascii="Arial" w:eastAsia="Arial" w:hAnsi="Arial" w:cs="Arial" w:hint="default"/>
        <w:b w:val="0"/>
        <w:bCs w:val="0"/>
        <w:i w:val="0"/>
        <w:iCs w:val="0"/>
        <w:color w:val="1C1C1C"/>
        <w:spacing w:val="-1"/>
        <w:w w:val="109"/>
        <w:sz w:val="19"/>
        <w:szCs w:val="19"/>
        <w:lang w:val="pl-PL" w:eastAsia="en-US" w:bidi="ar-SA"/>
      </w:rPr>
    </w:lvl>
    <w:lvl w:ilvl="1" w:tplc="8EAA9DDC">
      <w:numFmt w:val="bullet"/>
      <w:lvlText w:val="•"/>
      <w:lvlJc w:val="left"/>
      <w:pPr>
        <w:ind w:left="1904" w:hanging="218"/>
      </w:pPr>
      <w:rPr>
        <w:rFonts w:hint="default"/>
        <w:lang w:val="pl-PL" w:eastAsia="en-US" w:bidi="ar-SA"/>
      </w:rPr>
    </w:lvl>
    <w:lvl w:ilvl="2" w:tplc="79E60256">
      <w:numFmt w:val="bullet"/>
      <w:lvlText w:val="•"/>
      <w:lvlJc w:val="left"/>
      <w:pPr>
        <w:ind w:left="2808" w:hanging="218"/>
      </w:pPr>
      <w:rPr>
        <w:rFonts w:hint="default"/>
        <w:lang w:val="pl-PL" w:eastAsia="en-US" w:bidi="ar-SA"/>
      </w:rPr>
    </w:lvl>
    <w:lvl w:ilvl="3" w:tplc="EB8CF3F8">
      <w:numFmt w:val="bullet"/>
      <w:lvlText w:val="•"/>
      <w:lvlJc w:val="left"/>
      <w:pPr>
        <w:ind w:left="3712" w:hanging="218"/>
      </w:pPr>
      <w:rPr>
        <w:rFonts w:hint="default"/>
        <w:lang w:val="pl-PL" w:eastAsia="en-US" w:bidi="ar-SA"/>
      </w:rPr>
    </w:lvl>
    <w:lvl w:ilvl="4" w:tplc="0F1E3002">
      <w:numFmt w:val="bullet"/>
      <w:lvlText w:val="•"/>
      <w:lvlJc w:val="left"/>
      <w:pPr>
        <w:ind w:left="4616" w:hanging="218"/>
      </w:pPr>
      <w:rPr>
        <w:rFonts w:hint="default"/>
        <w:lang w:val="pl-PL" w:eastAsia="en-US" w:bidi="ar-SA"/>
      </w:rPr>
    </w:lvl>
    <w:lvl w:ilvl="5" w:tplc="2BDA8E7A">
      <w:numFmt w:val="bullet"/>
      <w:lvlText w:val="•"/>
      <w:lvlJc w:val="left"/>
      <w:pPr>
        <w:ind w:left="5520" w:hanging="218"/>
      </w:pPr>
      <w:rPr>
        <w:rFonts w:hint="default"/>
        <w:lang w:val="pl-PL" w:eastAsia="en-US" w:bidi="ar-SA"/>
      </w:rPr>
    </w:lvl>
    <w:lvl w:ilvl="6" w:tplc="57DAD5A0">
      <w:numFmt w:val="bullet"/>
      <w:lvlText w:val="•"/>
      <w:lvlJc w:val="left"/>
      <w:pPr>
        <w:ind w:left="6424" w:hanging="218"/>
      </w:pPr>
      <w:rPr>
        <w:rFonts w:hint="default"/>
        <w:lang w:val="pl-PL" w:eastAsia="en-US" w:bidi="ar-SA"/>
      </w:rPr>
    </w:lvl>
    <w:lvl w:ilvl="7" w:tplc="D73E0F42">
      <w:numFmt w:val="bullet"/>
      <w:lvlText w:val="•"/>
      <w:lvlJc w:val="left"/>
      <w:pPr>
        <w:ind w:left="7329" w:hanging="218"/>
      </w:pPr>
      <w:rPr>
        <w:rFonts w:hint="default"/>
        <w:lang w:val="pl-PL" w:eastAsia="en-US" w:bidi="ar-SA"/>
      </w:rPr>
    </w:lvl>
    <w:lvl w:ilvl="8" w:tplc="C7EE6B6E">
      <w:numFmt w:val="bullet"/>
      <w:lvlText w:val="•"/>
      <w:lvlJc w:val="left"/>
      <w:pPr>
        <w:ind w:left="8233" w:hanging="218"/>
      </w:pPr>
      <w:rPr>
        <w:rFonts w:hint="default"/>
        <w:lang w:val="pl-P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4A"/>
    <w:rsid w:val="00000FD2"/>
    <w:rsid w:val="00196CEE"/>
    <w:rsid w:val="001A7E12"/>
    <w:rsid w:val="00240A4A"/>
    <w:rsid w:val="00272DEE"/>
    <w:rsid w:val="002E4C23"/>
    <w:rsid w:val="00321322"/>
    <w:rsid w:val="004A7FC6"/>
    <w:rsid w:val="005554EB"/>
    <w:rsid w:val="005815A3"/>
    <w:rsid w:val="00600EA5"/>
    <w:rsid w:val="00645122"/>
    <w:rsid w:val="007C4F85"/>
    <w:rsid w:val="007E3C48"/>
    <w:rsid w:val="007F7904"/>
    <w:rsid w:val="00852F96"/>
    <w:rsid w:val="00875D08"/>
    <w:rsid w:val="00960887"/>
    <w:rsid w:val="009B140A"/>
    <w:rsid w:val="00A17A9F"/>
    <w:rsid w:val="00B07CD2"/>
    <w:rsid w:val="00B15440"/>
    <w:rsid w:val="00BC76F6"/>
    <w:rsid w:val="00C40F21"/>
    <w:rsid w:val="00F20242"/>
    <w:rsid w:val="00F634FC"/>
    <w:rsid w:val="00F86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C923"/>
  <w15:docId w15:val="{A713F7FB-6106-4BDF-939C-159D7C9B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9"/>
      <w:szCs w:val="19"/>
    </w:rPr>
  </w:style>
  <w:style w:type="paragraph" w:styleId="Tytu">
    <w:name w:val="Title"/>
    <w:basedOn w:val="Normalny"/>
    <w:uiPriority w:val="10"/>
    <w:qFormat/>
    <w:pPr>
      <w:spacing w:before="34" w:line="263" w:lineRule="exact"/>
      <w:ind w:left="105" w:right="22"/>
      <w:jc w:val="center"/>
    </w:pPr>
    <w:rPr>
      <w:b/>
      <w:bCs/>
      <w:sz w:val="25"/>
      <w:szCs w:val="25"/>
    </w:rPr>
  </w:style>
  <w:style w:type="paragraph" w:styleId="Akapitzlist">
    <w:name w:val="List Paragraph"/>
    <w:basedOn w:val="Normalny"/>
    <w:uiPriority w:val="1"/>
    <w:qFormat/>
    <w:pPr>
      <w:ind w:left="997" w:hanging="225"/>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EF9E4-52CE-4D52-B9A7-52EEE158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2763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Mroczek</dc:creator>
  <cp:lastModifiedBy>Anna Szulc_2</cp:lastModifiedBy>
  <cp:revision>2</cp:revision>
  <dcterms:created xsi:type="dcterms:W3CDTF">2023-12-08T12:31:00Z</dcterms:created>
  <dcterms:modified xsi:type="dcterms:W3CDTF">2023-12-08T12:31:00Z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UG KETRZYN_</vt:lpwstr>
  </property>
  <property fmtid="{D5CDD505-2E9C-101B-9397-08002B2CF9AE}" pid="4" name="Producer">
    <vt:lpwstr>KONICA MINOLTA bizhub C280</vt:lpwstr>
  </property>
  <property fmtid="{D5CDD505-2E9C-101B-9397-08002B2CF9AE}" pid="5" name="LastSaved">
    <vt:filetime>2022-11-09T00:00:00Z</vt:filetime>
  </property>
</Properties>
</file>