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5D48" w14:textId="77777777" w:rsidR="00A77B3E" w:rsidRDefault="00B85FEF">
      <w:pPr>
        <w:jc w:val="center"/>
        <w:rPr>
          <w:b/>
          <w:caps/>
        </w:rPr>
      </w:pPr>
      <w:r>
        <w:rPr>
          <w:b/>
          <w:caps/>
        </w:rPr>
        <w:t>Zarządzenie Nr 361/2023</w:t>
      </w:r>
      <w:r>
        <w:rPr>
          <w:b/>
          <w:caps/>
        </w:rPr>
        <w:br/>
        <w:t>Prezydenta Miasta Elbląg</w:t>
      </w:r>
    </w:p>
    <w:p w14:paraId="4BE28FE9" w14:textId="77777777" w:rsidR="00A77B3E" w:rsidRDefault="00B85FEF">
      <w:pPr>
        <w:spacing w:before="280" w:after="280"/>
        <w:jc w:val="center"/>
        <w:rPr>
          <w:b/>
          <w:caps/>
        </w:rPr>
      </w:pPr>
      <w:r>
        <w:t>z dnia 26 lipca 2023 r.</w:t>
      </w:r>
    </w:p>
    <w:p w14:paraId="4DB7C80B" w14:textId="77777777" w:rsidR="00A77B3E" w:rsidRDefault="00B85FEF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1E822524" w14:textId="77777777" w:rsidR="00A77B3E" w:rsidRDefault="00B85FEF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 poz. 1360 ze zm.) oraz § 16 Zasad nabywania, zbywania i obciążania nieruchomości Gminy Miasto Elbląg oraz ich wydzierżawiania lub wyna</w:t>
      </w:r>
      <w:r>
        <w:rPr>
          <w:color w:val="000000"/>
          <w:u w:color="000000"/>
        </w:rPr>
        <w:t>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14:paraId="01D79313" w14:textId="77777777" w:rsidR="00A77B3E" w:rsidRDefault="00B85FE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4631EDD5" w14:textId="77777777" w:rsidR="00A77B3E" w:rsidRDefault="00B85FE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 xml:space="preserve">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047DEB7D" w14:textId="77777777" w:rsidR="00A77B3E" w:rsidRDefault="00B85FEF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</w:t>
      </w:r>
      <w:r>
        <w:rPr>
          <w:color w:val="000000"/>
          <w:u w:color="000000"/>
        </w:rPr>
        <w:t>ości zostaną określone w protokole z rokowań.</w:t>
      </w:r>
    </w:p>
    <w:p w14:paraId="6DBFBC20" w14:textId="77777777" w:rsidR="00A77B3E" w:rsidRDefault="00B85FE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0D686236" w14:textId="77777777" w:rsidR="00A77B3E" w:rsidRDefault="00B85FE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6FA10DC9" w14:textId="77777777" w:rsidR="00B85FEF" w:rsidRDefault="00B85FEF">
      <w:pPr>
        <w:keepLines/>
        <w:spacing w:before="120" w:after="120"/>
        <w:rPr>
          <w:color w:val="000000"/>
          <w:u w:color="000000"/>
        </w:rPr>
        <w:sectPr w:rsidR="00B85FEF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109AC318" w14:textId="45393F25" w:rsidR="00A77B3E" w:rsidRDefault="00B85FEF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361/2023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26 lipca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85FE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3A155"/>
  <w15:docId w15:val="{61AA209B-0750-4D1B-96FC-746B01F5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C11F73F1-D0B9-43B4-BB82-21B8699207E8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361/2023 z dnia 26 lipca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2023-08-01T08:01:00Z</dcterms:created>
  <dcterms:modified xsi:type="dcterms:W3CDTF">2023-08-01T08:01:00Z</dcterms:modified>
  <cp:category>Akt prawny</cp:category>
</cp:coreProperties>
</file>