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179/2023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12 maja 2023 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sporządzenia i ogłoszenia wykazu nieruchomości przeznaczonych do zbycia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(t.j. Dz.U.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344)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zasobu nieruchomości Gminy Miasto Elbląg przeznacza się do zbycia nieruchomości szczegółowo opisane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warunki zbycia poszczególnych nieruchomości zostaną ustalone we właściwych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protokołach.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Ogłasza się wykaz nieruchomości przeznaczonych do zbycia,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nieruchomości,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podlega ogłoszeniu poprzez wywieszenie na tablicy ogłoszeń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siedzibie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Elblągu na okres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ponadto informacja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wywieszeniu podana zostanie do wiadomości publicznej poprzez ogłoszenie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prasie lokalnej.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załączniku do Zarządzenia Nr 33/2020 Prezydenta Miasta Elbląg z dnia 24 stycznia 2020 r. w sprawie sporządzenia i ogłoszenia wykazu nieruchomości przeznaczonych do zbycia, skreśla się poz. 1.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 w:rsidR="00A77B3E">
      <w:pPr>
        <w:keepNext/>
        <w:spacing w:before="120" w:after="0" w:line="240" w:lineRule="auto"/>
        <w:ind w:left="1032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Zarządzenia Nr 179/2023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Prezydenta Miasta Elbląg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12 maja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przeznaczonych do zbycia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przetargu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968"/>
        <w:gridCol w:w="2766"/>
        <w:gridCol w:w="885"/>
        <w:gridCol w:w="604"/>
        <w:gridCol w:w="786"/>
        <w:gridCol w:w="764"/>
        <w:gridCol w:w="1487"/>
        <w:gridCol w:w="946"/>
        <w:gridCol w:w="794"/>
        <w:gridCol w:w="31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Adres</w:t>
            </w: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Dane geodezyjne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Opis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przeznaczenie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nieruchomości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Forma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zbycia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2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Cena</w:t>
            </w:r>
          </w:p>
          <w:p>
            <w:pPr>
              <w:jc w:val="center"/>
            </w:pPr>
            <w:r>
              <w:rPr>
                <w:b/>
              </w:rPr>
              <w:t>nieruchomości*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Nr dz.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ha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Obręb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ul.Romualda Mielczarskiego 22/1A 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33542/4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111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0,0269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Lokal niemieszkalny nr 1A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pow. 14,7 m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superscript"/>
              </w:rPr>
              <w:t xml:space="preserve">2 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do lokalu przynależny piwnica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 pow. 2,9 m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superscript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Z lokalem związany jest udział 0,0299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częściach wspólnych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niepodzielnych oraz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prawie własności gruntu.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własność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37.000 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5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lokal: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35.072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"/>
        </w:trPr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udział w gruncie: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1.928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"/>
        </w:trPr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5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plus podatek VAT zgodnie </w:t>
            </w:r>
          </w:p>
          <w:p>
            <w:pPr>
              <w:jc w:val="center"/>
            </w:pPr>
            <w:r>
              <w:rPr>
                <w:sz w:val="16"/>
              </w:rPr>
              <w:t>z obowiązującymi przepisami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2. </w:t>
            </w:r>
          </w:p>
        </w:tc>
        <w:tc>
          <w:tcPr>
            <w:tcW w:w="19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ul.Romualda Traugutta 89/2G</w:t>
            </w:r>
          </w:p>
        </w:tc>
        <w:tc>
          <w:tcPr>
            <w:tcW w:w="15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29080/6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197</w:t>
            </w: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0,0223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16</w:t>
            </w:r>
          </w:p>
        </w:tc>
        <w:tc>
          <w:tcPr>
            <w:tcW w:w="27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Lokal niemieszkalny nr 2G o pow. 4,7 m</w:t>
            </w:r>
            <w:r>
              <w:rPr>
                <w:sz w:val="20"/>
                <w:vertAlign w:val="superscript"/>
              </w:rPr>
              <w:t xml:space="preserve">2 </w:t>
            </w:r>
          </w:p>
          <w:p>
            <w:pPr>
              <w:jc w:val="center"/>
            </w:pPr>
            <w:r>
              <w:rPr>
                <w:sz w:val="20"/>
              </w:rPr>
              <w:t>Z lokalem związany jest udział 0,021 w częściach wspólnych i niepodzielnych oraz w prawie własności gruntu.</w:t>
            </w:r>
          </w:p>
        </w:tc>
        <w:tc>
          <w:tcPr>
            <w:tcW w:w="16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własność</w:t>
            </w:r>
          </w:p>
        </w:tc>
        <w:tc>
          <w:tcPr>
            <w:tcW w:w="2655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9.000 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55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"/>
        </w:trPr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lokal: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7.434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"/>
        </w:trPr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udział w gruncie: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1.566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5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plus podatek VAT zgodnie </w:t>
            </w:r>
          </w:p>
          <w:p>
            <w:pPr>
              <w:jc w:val="center"/>
            </w:pPr>
            <w:r>
              <w:rPr>
                <w:sz w:val="16"/>
              </w:rPr>
              <w:t>z obowiązującymi przepisami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3.</w:t>
            </w:r>
          </w:p>
        </w:tc>
        <w:tc>
          <w:tcPr>
            <w:tcW w:w="19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ul. Suwalska 10/3</w:t>
            </w:r>
          </w:p>
        </w:tc>
        <w:tc>
          <w:tcPr>
            <w:tcW w:w="15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72832/9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320</w:t>
            </w: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0,0959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</w:p>
        </w:tc>
        <w:tc>
          <w:tcPr>
            <w:tcW w:w="27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Lokal mieszkalny nr 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pow. 30,6 m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superscript"/>
              </w:rPr>
              <w:t xml:space="preserve">2 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do lokalu przynależny piwnica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 pow. 6,5 m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superscript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Z lokalem związany jest udział 0,284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częściach wspólnych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niepodzielnych oraz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prawie własności gruntu</w:t>
            </w:r>
          </w:p>
        </w:tc>
        <w:tc>
          <w:tcPr>
            <w:tcW w:w="16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własność</w:t>
            </w:r>
          </w:p>
        </w:tc>
        <w:tc>
          <w:tcPr>
            <w:tcW w:w="2655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73.500 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55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lokal: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29.806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udział w gruncie: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43.694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5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plus podatek VAT zgodnie </w:t>
            </w:r>
          </w:p>
          <w:p>
            <w:pPr>
              <w:jc w:val="center"/>
            </w:pPr>
            <w:r>
              <w:rPr>
                <w:sz w:val="16"/>
              </w:rPr>
              <w:t>z obowiązującymi przepisami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9"/>
          <w:wAfter w:w="12060" w:type="dxa"/>
          <w:trHeight w:val="465"/>
        </w:trPr>
        <w:tc>
          <w:tcPr>
            <w:tcW w:w="14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* Osoby, o których mowa w art.34 ust.1 ustawy o gospodarce nieruchomościami nabywają nieruchomość za cenę określoną na podstawie art.67 ust.3 ustawy o gospodarce nieruchomościami. </w:t>
            </w:r>
          </w:p>
          <w:p>
            <w:pPr>
              <w:jc w:val="both"/>
            </w:pPr>
            <w:r>
              <w:rPr>
                <w:sz w:val="18"/>
              </w:rPr>
              <w:t>Pierwszeństwo w nabyciu nieruchomości określonych w powyższym wykazie dotyczy osób, którym przysługuje roszczenie o nabycie nieruchomości z mocy ustawy o gospodarce nieruchomościami lub odrębnych przepisów, jeżeli złożą wniosek o nabycie przed upływem terminu określonego w wykazie: termin złożenia wniosku nie może być krótszy niż 6 tygodni, licząc od dnia wywieszenia wykazu.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10"/>
          <w:wAfter w:w="17280" w:type="dxa"/>
          <w:trHeight w:val="465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Sporządziła: Katarzyna Zaborowska, Podinspektor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179/2023 z dnia 12 maja 2023 r.</dc:title>
  <dc:subject>w sprawie sporządzenia i^ogłoszenia wykazu nieruchomości przeznaczonych do zbycia</dc:subject>
  <dc:creator>kazab</dc:creator>
  <cp:lastModifiedBy>kazab</cp:lastModifiedBy>
  <cp:revision>1</cp:revision>
  <dcterms:created xsi:type="dcterms:W3CDTF">2023-05-15T10:49:52Z</dcterms:created>
  <dcterms:modified xsi:type="dcterms:W3CDTF">2023-05-15T10:49:52Z</dcterms:modified>
  <cp:category>Akt prawny</cp:category>
</cp:coreProperties>
</file>