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maja 2023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33/2020 Prezydenta Miasta Elbląg z dnia 24 stycznia 2020 r. w sprawie sporządzenia i ogłoszenia wykazu nieruchomości przeznaczonych do zbycia, skreśla się poz. 1.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spacing w:before="120" w:after="0" w:line="240" w:lineRule="auto"/>
        <w:ind w:left="1032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 179/2023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Elbląg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 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przeznaczonych do zbycia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przetargu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68"/>
        <w:gridCol w:w="2766"/>
        <w:gridCol w:w="885"/>
        <w:gridCol w:w="604"/>
        <w:gridCol w:w="786"/>
        <w:gridCol w:w="764"/>
        <w:gridCol w:w="1487"/>
        <w:gridCol w:w="946"/>
        <w:gridCol w:w="794"/>
        <w:gridCol w:w="31"/>
        <w:gridCol w:w="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przeznaczenie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nieruchomości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Forma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zbycia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2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Cena</w:t>
            </w:r>
          </w:p>
          <w:p>
            <w:pPr>
              <w:jc w:val="center"/>
            </w:pPr>
            <w:r>
              <w:rPr>
                <w:b/>
              </w:rPr>
              <w:t>nieruchomości*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Nr dz.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Obręb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ul.Romualda Mielczarskiego 22/1A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33542/4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111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0,0269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Lokal niemieszkalny nr 1A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pow. 14,7 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2 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 lokalu przynależny piwnica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pow. 2,9 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lokalem związany jest udział 0,0299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częściach wspólnych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niepodzielnych oraz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prawie własności gruntu.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37.000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6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35.072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 w gruncie: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1.928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2. 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ul.Romualda Traugutta 89/2G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29080/6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197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0,0223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Lokal niemieszkalny nr 2G o pow. 4,7 m</w:t>
            </w:r>
            <w:r>
              <w:rPr>
                <w:sz w:val="20"/>
                <w:vertAlign w:val="superscript"/>
              </w:rPr>
              <w:t xml:space="preserve">2 </w:t>
            </w:r>
          </w:p>
          <w:p>
            <w:pPr>
              <w:jc w:val="center"/>
            </w:pPr>
            <w:r>
              <w:rPr>
                <w:sz w:val="20"/>
              </w:rPr>
              <w:t>Z lokalem związany jest udział 0,021 w częściach wspólnych i niepodzielnych oraz w prawie własności gruntu.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9.000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7.434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 w gruncie: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1.566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ul. Suwalska 10/3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72832/9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320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0,0959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Lokal mieszkalny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pow. 30,6 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2 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do lokalu przynależny piwnica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 pow. 6,5 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superscript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 lokalem związany jest udział 0,284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częściach wspólnych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niepodzielnych oraz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prawie własności gruntu</w:t>
            </w:r>
          </w:p>
        </w:tc>
        <w:tc>
          <w:tcPr>
            <w:tcW w:w="16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własność</w:t>
            </w: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73.500 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lokal: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29.806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udział w gruncie: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43.694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plus podatek VAT zgodnie </w:t>
            </w:r>
          </w:p>
          <w:p>
            <w:pPr>
              <w:jc w:val="center"/>
            </w:pPr>
            <w:r>
              <w:rPr>
                <w:sz w:val="16"/>
              </w:rPr>
              <w:t>z obowiązującymi przepisami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9"/>
          <w:wAfter w:w="12060" w:type="dxa"/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jc w:val="both"/>
            </w:pPr>
            <w:r>
              <w:rPr>
                <w:sz w:val="18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0"/>
          <w:wAfter w:w="17280" w:type="dxa"/>
          <w:trHeight w:val="46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i/>
                <w:sz w:val="18"/>
              </w:rPr>
              <w:t>Sporządziła: Katarzyna Zaborowska, Podinspektor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179/2023 z dnia 12 maja 2023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2023-05-15T10:49:52Z</dcterms:created>
  <dcterms:modified xsi:type="dcterms:W3CDTF">2023-05-15T10:49:52Z</dcterms:modified>
  <cp:category>Akt prawny</cp:category>
</cp:coreProperties>
</file>