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582/2024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13 grudnia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198g, art. 198h ust. 1 pkt 1 oraz art. 198k ust. 1 pkt 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582/2024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13 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860"/>
        <w:gridCol w:w="1080"/>
        <w:gridCol w:w="855"/>
        <w:gridCol w:w="945"/>
        <w:gridCol w:w="645"/>
        <w:gridCol w:w="2955"/>
        <w:gridCol w:w="1230"/>
        <w:gridCol w:w="2235"/>
        <w:gridCol w:w="24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Fromborska 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42626/3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486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0,0305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gruntowa zabudowana budynkiem mieszkalno- usługowym, stanowiącym odrębne od gruntu prawo własności.</w:t>
            </w:r>
          </w:p>
          <w:p>
            <w:pPr>
              <w:jc w:val="center"/>
            </w:pPr>
            <w:r>
              <w:t xml:space="preserve"> MPZP - zabudowa usługowa.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35.011,80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sprzedaż nieruchomości nie podlega 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 34 ust.1 ustawy o gospodarce nieruchomościami nabywają nieruchomość za cenę określoną na podstawie art. 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582/2024 z dnia 13 grudnia 2024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2024-12-18T13:27:04Z</dcterms:created>
  <dcterms:modified xsi:type="dcterms:W3CDTF">2024-12-18T13:27:04Z</dcterms:modified>
  <cp:category>Akt prawny</cp:category>
</cp:coreProperties>
</file>